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AE74C8" w14:textId="77777777" w:rsidR="00AA0742" w:rsidRDefault="00133192">
      <w:pPr>
        <w:pStyle w:val="Title"/>
        <w:widowControl/>
        <w:pBdr>
          <w:bottom w:val="none" w:sz="0" w:space="10" w:color="auto"/>
        </w:pBdr>
        <w:ind w:firstLine="0"/>
      </w:pPr>
      <w:bookmarkStart w:id="0" w:name="_4uvdgluukpba" w:colFirst="0" w:colLast="0"/>
      <w:bookmarkStart w:id="1" w:name="_GoBack"/>
      <w:bookmarkEnd w:id="0"/>
      <w:bookmarkEnd w:id="1"/>
      <w:r>
        <w:t>Disability and Shame</w:t>
      </w:r>
    </w:p>
    <w:p w14:paraId="33C2CE09" w14:textId="77777777" w:rsidR="00AA0742" w:rsidRDefault="00133192">
      <w:pPr>
        <w:pStyle w:val="Title"/>
        <w:widowControl/>
        <w:pBdr>
          <w:bottom w:val="none" w:sz="0" w:space="10" w:color="auto"/>
        </w:pBdr>
        <w:spacing w:after="200" w:line="276" w:lineRule="auto"/>
        <w:ind w:firstLine="0"/>
      </w:pPr>
      <w:bookmarkStart w:id="2" w:name="_oat0rpc6zurq" w:colFirst="0" w:colLast="0"/>
      <w:bookmarkEnd w:id="2"/>
      <w:r>
        <w:t>Special Issue Forum: Creative Works</w:t>
      </w:r>
    </w:p>
    <w:p w14:paraId="5366FDA5" w14:textId="77777777" w:rsidR="00AA0742" w:rsidRDefault="00133192">
      <w:pPr>
        <w:pStyle w:val="Title"/>
        <w:widowControl/>
        <w:pBdr>
          <w:bottom w:val="none" w:sz="0" w:space="10" w:color="auto"/>
        </w:pBdr>
        <w:ind w:firstLine="0"/>
      </w:pPr>
      <w:bookmarkStart w:id="3" w:name="_f5h9vktm67hn" w:colFirst="0" w:colLast="0"/>
      <w:bookmarkEnd w:id="3"/>
      <w:r>
        <w:t>We Walk Through Corridors</w:t>
      </w:r>
    </w:p>
    <w:p w14:paraId="311D7CA2" w14:textId="77777777" w:rsidR="00AA0742" w:rsidRDefault="00133192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</w:pPr>
      <w:r>
        <w:t xml:space="preserve">Lisa </w:t>
      </w:r>
      <w:proofErr w:type="spellStart"/>
      <w:r>
        <w:t>Boskovich</w:t>
      </w:r>
      <w:proofErr w:type="spellEnd"/>
      <w:r>
        <w:t>, MS</w:t>
      </w:r>
    </w:p>
    <w:p w14:paraId="53431696" w14:textId="77777777" w:rsidR="00AA0742" w:rsidRDefault="00133192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  <w:rPr>
          <w:i/>
        </w:rPr>
      </w:pPr>
      <w:r>
        <w:rPr>
          <w:i/>
        </w:rPr>
        <w:t>Chapman University</w:t>
      </w:r>
    </w:p>
    <w:p w14:paraId="4FC65A20" w14:textId="77777777" w:rsidR="00AA0742" w:rsidRDefault="00133192">
      <w:pPr>
        <w:widowControl/>
        <w:pBdr>
          <w:bottom w:val="none" w:sz="0" w:space="10" w:color="auto"/>
        </w:pBdr>
        <w:ind w:firstLine="0"/>
        <w:jc w:val="center"/>
      </w:pPr>
      <w:r>
        <w:t>California, United States</w:t>
      </w:r>
    </w:p>
    <w:p w14:paraId="077C4B1B" w14:textId="77777777" w:rsidR="00AA0742" w:rsidRDefault="00133192">
      <w:pPr>
        <w:widowControl/>
        <w:pBdr>
          <w:bottom w:val="none" w:sz="0" w:space="10" w:color="auto"/>
        </w:pBdr>
        <w:ind w:firstLine="0"/>
      </w:pPr>
      <w:r>
        <w:rPr>
          <w:b/>
          <w:highlight w:val="white"/>
        </w:rPr>
        <w:t>Abstract:</w:t>
      </w:r>
      <w:r>
        <w:rPr>
          <w:highlight w:val="white"/>
        </w:rPr>
        <w:t xml:space="preserve"> </w:t>
      </w:r>
      <w:r>
        <w:rPr>
          <w:highlight w:val="white"/>
        </w:rPr>
        <w:t>The shame surrounding the construct of disability strikes at the very context of an individual’s soul. The overcoming of shame associated with a learning disability diagnosis is a journey. To be free requires the inner looking into the core of self, once v</w:t>
      </w:r>
      <w:r>
        <w:rPr>
          <w:highlight w:val="white"/>
        </w:rPr>
        <w:t>iewed and acknowledged healing enters. In this journey the individual is held by hands greater than their own. The path of healing is an individual passage and choice.</w:t>
      </w:r>
    </w:p>
    <w:p w14:paraId="4659F73E" w14:textId="77777777" w:rsidR="00AA0742" w:rsidRDefault="00133192">
      <w:pPr>
        <w:pStyle w:val="Heading1"/>
        <w:widowControl/>
        <w:pBdr>
          <w:bottom w:val="none" w:sz="0" w:space="10" w:color="auto"/>
        </w:pBdr>
        <w:spacing w:after="0" w:line="240" w:lineRule="auto"/>
        <w:ind w:firstLine="0"/>
      </w:pPr>
      <w:bookmarkStart w:id="4" w:name="_wwhfk2o82lch" w:colFirst="0" w:colLast="0"/>
      <w:bookmarkEnd w:id="4"/>
      <w:r>
        <w:t>We Walk Through Corridors</w:t>
      </w:r>
    </w:p>
    <w:p w14:paraId="046ED45A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Passing through Shame,</w:t>
      </w:r>
    </w:p>
    <w:p w14:paraId="2AD53778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Only known to self.</w:t>
      </w:r>
    </w:p>
    <w:p w14:paraId="50BDC7F7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Mirrored reflection</w:t>
      </w:r>
      <w:r>
        <w:rPr>
          <w:i/>
        </w:rPr>
        <w:t>s,</w:t>
      </w:r>
    </w:p>
    <w:p w14:paraId="1BAD329D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Of who we were,</w:t>
      </w:r>
    </w:p>
    <w:p w14:paraId="5E7B6961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Of who we are,</w:t>
      </w:r>
    </w:p>
    <w:p w14:paraId="3F869EDB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and</w:t>
      </w:r>
    </w:p>
    <w:p w14:paraId="2A8911A0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Who we hope,</w:t>
      </w:r>
    </w:p>
    <w:p w14:paraId="6775E756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We will become.</w:t>
      </w:r>
    </w:p>
    <w:p w14:paraId="3138C1A2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This Ph.D. Journey,</w:t>
      </w:r>
    </w:p>
    <w:p w14:paraId="69693333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Lonely is the road,</w:t>
      </w:r>
    </w:p>
    <w:p w14:paraId="03DE1315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At times. </w:t>
      </w:r>
    </w:p>
    <w:p w14:paraId="798EC127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Decisions to make, </w:t>
      </w:r>
    </w:p>
    <w:p w14:paraId="7494DBAB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Fears to face. </w:t>
      </w:r>
    </w:p>
    <w:p w14:paraId="0DBC1B8C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It's not the course work, </w:t>
      </w:r>
    </w:p>
    <w:p w14:paraId="0479770C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That's difficult. </w:t>
      </w:r>
    </w:p>
    <w:p w14:paraId="42D8A8C7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It is what the coursework,</w:t>
      </w:r>
    </w:p>
    <w:p w14:paraId="0CCFB496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Asks of us. </w:t>
      </w:r>
    </w:p>
    <w:p w14:paraId="174F8D40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To step outside of our assumptions, </w:t>
      </w:r>
    </w:p>
    <w:p w14:paraId="61EA90E9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To embrace our fears,</w:t>
      </w:r>
    </w:p>
    <w:p w14:paraId="7EC6317A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we strive to pass, </w:t>
      </w:r>
    </w:p>
    <w:p w14:paraId="146518AC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and place imposter syndrome, </w:t>
      </w:r>
    </w:p>
    <w:p w14:paraId="05704200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High upon a shelf, </w:t>
      </w:r>
    </w:p>
    <w:p w14:paraId="3EA0A05D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We can only reach. </w:t>
      </w:r>
    </w:p>
    <w:p w14:paraId="3334E9A0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Remaining ever hopeful,</w:t>
      </w:r>
    </w:p>
    <w:p w14:paraId="0FF370CD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The journey will sustain, </w:t>
      </w:r>
    </w:p>
    <w:p w14:paraId="093B1B81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Bringing us, </w:t>
      </w:r>
    </w:p>
    <w:p w14:paraId="3B9ACBBA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More than the title, </w:t>
      </w:r>
    </w:p>
    <w:p w14:paraId="3C866A53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More than the academ</w:t>
      </w:r>
      <w:r>
        <w:rPr>
          <w:i/>
        </w:rPr>
        <w:t xml:space="preserve">ic hood. </w:t>
      </w:r>
    </w:p>
    <w:p w14:paraId="0BA9BE22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lastRenderedPageBreak/>
        <w:t xml:space="preserve">That the journey, </w:t>
      </w:r>
    </w:p>
    <w:p w14:paraId="09EFD8E0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 xml:space="preserve">Will bring us further, </w:t>
      </w:r>
    </w:p>
    <w:p w14:paraId="515FB788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To the truth of self.</w:t>
      </w:r>
    </w:p>
    <w:p w14:paraId="6010B20C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  <w:rPr>
          <w:i/>
        </w:rPr>
      </w:pPr>
      <w:r>
        <w:rPr>
          <w:i/>
        </w:rPr>
        <w:t>This mirrored reflection,</w:t>
      </w:r>
    </w:p>
    <w:p w14:paraId="7B8B67CC" w14:textId="77777777" w:rsidR="00AA0742" w:rsidRDefault="00133192">
      <w:pPr>
        <w:widowControl/>
        <w:pBdr>
          <w:bottom w:val="none" w:sz="0" w:space="10" w:color="auto"/>
        </w:pBdr>
        <w:spacing w:after="0"/>
        <w:ind w:left="3960" w:firstLine="0"/>
      </w:pPr>
      <w:r>
        <w:rPr>
          <w:i/>
        </w:rPr>
        <w:t>We call truth.</w:t>
      </w:r>
    </w:p>
    <w:p w14:paraId="2E19FD77" w14:textId="77777777" w:rsidR="00AA0742" w:rsidRDefault="00133192">
      <w:pPr>
        <w:widowControl/>
        <w:pBdr>
          <w:bottom w:val="none" w:sz="0" w:space="10" w:color="auto"/>
        </w:pBdr>
        <w:spacing w:after="0"/>
        <w:ind w:firstLine="0"/>
      </w:pPr>
      <w:r>
        <w:rPr>
          <w:b/>
        </w:rPr>
        <w:t xml:space="preserve">Lisa </w:t>
      </w:r>
      <w:proofErr w:type="spellStart"/>
      <w:r>
        <w:rPr>
          <w:b/>
        </w:rPr>
        <w:t>Boskovich</w:t>
      </w:r>
      <w:proofErr w:type="spellEnd"/>
      <w:r>
        <w:t xml:space="preserve">, M.S., is a Doctoral Candidate in the Donna Ford </w:t>
      </w:r>
      <w:proofErr w:type="spellStart"/>
      <w:r>
        <w:t>Attallah</w:t>
      </w:r>
      <w:proofErr w:type="spellEnd"/>
      <w:r>
        <w:t xml:space="preserve"> College of Educational Studies at Chapman University in Orange, California with an emphasis in Disability Studies. Her research interests include, fathers who have a child on the autism spectrum, a</w:t>
      </w:r>
      <w:r>
        <w:t>nd the phenomenological master narratives of individuals with learning disabilities. Lisa is currently working as a Research Assistant at the Thompson Policy Institute on Disability and Autism.</w:t>
      </w:r>
    </w:p>
    <w:p w14:paraId="361D778D" w14:textId="77777777" w:rsidR="00AA0742" w:rsidRDefault="00AA0742">
      <w:pPr>
        <w:widowControl/>
        <w:pBdr>
          <w:bottom w:val="none" w:sz="0" w:space="10" w:color="auto"/>
        </w:pBdr>
        <w:spacing w:after="0"/>
        <w:ind w:firstLine="0"/>
      </w:pPr>
    </w:p>
    <w:p w14:paraId="23803457" w14:textId="77777777" w:rsidR="00AA0742" w:rsidRDefault="00133192">
      <w:pPr>
        <w:widowControl/>
        <w:pBdr>
          <w:bottom w:val="none" w:sz="0" w:space="10" w:color="auto"/>
        </w:pBdr>
        <w:spacing w:after="0"/>
        <w:ind w:firstLine="0"/>
      </w:pPr>
      <w:r>
        <w:rPr>
          <w:noProof/>
        </w:rPr>
        <w:drawing>
          <wp:inline distT="114300" distB="114300" distL="114300" distR="114300" wp14:anchorId="1B054BF4" wp14:editId="353F9540">
            <wp:extent cx="762000" cy="142875"/>
            <wp:effectExtent l="0" t="0" r="0" b="0"/>
            <wp:docPr id="1" name="image1.png" descr="Creative Commons License - CC-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 - CC-BY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4B876" w14:textId="77777777" w:rsidR="00AA0742" w:rsidRDefault="00133192">
      <w:pPr>
        <w:widowControl/>
        <w:pBdr>
          <w:bottom w:val="none" w:sz="0" w:space="10" w:color="auto"/>
        </w:pBdr>
        <w:spacing w:after="0"/>
        <w:ind w:firstLine="0"/>
      </w:pPr>
      <w:r>
        <w:t>We Walk Through Corridors by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Lisa Boskovich</w:t>
        </w:r>
      </w:hyperlink>
      <w:r>
        <w:t xml:space="preserve"> is licensed under a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https://rdsjournal.org</w:t>
        </w:r>
      </w:hyperlink>
      <w:r>
        <w:t>. Permissions bey</w:t>
      </w:r>
      <w:r>
        <w:t>ond the scope of this license may be available at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https://www.rds.hawaii.edu/</w:t>
        </w:r>
      </w:hyperlink>
      <w:r>
        <w:t>.</w:t>
      </w:r>
    </w:p>
    <w:sectPr w:rsidR="00AA0742">
      <w:headerReference w:type="default" r:id="rId15"/>
      <w:footerReference w:type="default" r:id="rId16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3CBF" w14:textId="77777777" w:rsidR="00133192" w:rsidRDefault="00133192">
      <w:pPr>
        <w:spacing w:after="0" w:line="240" w:lineRule="auto"/>
      </w:pPr>
      <w:r>
        <w:separator/>
      </w:r>
    </w:p>
  </w:endnote>
  <w:endnote w:type="continuationSeparator" w:id="0">
    <w:p w14:paraId="46CCA546" w14:textId="77777777" w:rsidR="00133192" w:rsidRDefault="0013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BED0" w14:textId="77777777" w:rsidR="00AA0742" w:rsidRDefault="00AA0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AA0742" w14:paraId="252691E2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22EE8E" w14:textId="77777777" w:rsidR="00AA0742" w:rsidRDefault="0013319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 w:rsidR="00A0379F">
            <w:rPr>
              <w:rFonts w:ascii="Arial" w:eastAsia="Arial" w:hAnsi="Arial" w:cs="Arial"/>
              <w:color w:val="FFFFFF"/>
            </w:rPr>
            <w:fldChar w:fldCharType="separate"/>
          </w:r>
          <w:r w:rsidR="00A0379F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53B74BD7" w14:textId="77777777" w:rsidR="00AA0742" w:rsidRDefault="00AA0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13E5" w14:textId="77777777" w:rsidR="00133192" w:rsidRDefault="00133192">
      <w:pPr>
        <w:spacing w:after="0" w:line="240" w:lineRule="auto"/>
      </w:pPr>
      <w:r>
        <w:separator/>
      </w:r>
    </w:p>
  </w:footnote>
  <w:footnote w:type="continuationSeparator" w:id="0">
    <w:p w14:paraId="55A5B719" w14:textId="77777777" w:rsidR="00133192" w:rsidRDefault="0013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DF43" w14:textId="77777777" w:rsidR="00AA0742" w:rsidRDefault="00AA0742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AA0742" w14:paraId="436A1C05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5ACBFFD4" w14:textId="77777777" w:rsidR="00AA0742" w:rsidRDefault="0013319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F2256D5" w14:textId="77777777" w:rsidR="00AA0742" w:rsidRDefault="0013319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>5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</w:t>
          </w:r>
          <w:r>
            <w:rPr>
              <w:rFonts w:ascii="Arial" w:eastAsia="Arial" w:hAnsi="Arial" w:cs="Arial"/>
              <w:b/>
              <w:color w:val="FFFFFF"/>
            </w:rPr>
            <w:t>3</w:t>
          </w:r>
        </w:p>
      </w:tc>
    </w:tr>
  </w:tbl>
  <w:p w14:paraId="58C1C235" w14:textId="77777777" w:rsidR="00AA0742" w:rsidRDefault="00AA07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42"/>
    <w:rsid w:val="00133192"/>
    <w:rsid w:val="00A0379F"/>
    <w:rsid w:val="00A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D9D7"/>
  <w15:docId w15:val="{89D82D5D-74C0-4C0F-81DF-94CA149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journal.org/index.php/journal/article/view/944" TargetMode="External"/><Relationship Id="rId13" Type="http://schemas.openxmlformats.org/officeDocument/2006/relationships/hyperlink" Target="https://www.rds.hawaii.e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dsjournal.org/index.php/journal/article/view/944" TargetMode="External"/><Relationship Id="rId12" Type="http://schemas.openxmlformats.org/officeDocument/2006/relationships/hyperlink" Target="https://rdsjournal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dsjournal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yperlink" Target="https://www.rds.hawai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2019-07-24T22:16:00Z</dcterms:created>
  <dcterms:modified xsi:type="dcterms:W3CDTF">2019-07-24T22:16:00Z</dcterms:modified>
</cp:coreProperties>
</file>