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B0" w:rsidRPr="00F06860" w:rsidRDefault="00BC28B0" w:rsidP="00BC28B0">
      <w:pPr>
        <w:pStyle w:val="BodyText"/>
        <w:spacing w:line="240" w:lineRule="auto"/>
        <w:ind w:firstLine="0"/>
        <w:rPr>
          <w:rFonts w:cs="Arial"/>
          <w:b/>
          <w:color w:val="000000"/>
        </w:rPr>
      </w:pPr>
      <w:r w:rsidRPr="00F06860">
        <w:rPr>
          <w:rFonts w:cs="Arial"/>
          <w:b/>
          <w:color w:val="000000"/>
        </w:rPr>
        <w:t>Book Review</w:t>
      </w:r>
    </w:p>
    <w:p w:rsidR="00BC28B0" w:rsidRDefault="00BC28B0" w:rsidP="00BC28B0">
      <w:pPr>
        <w:pStyle w:val="BodyText"/>
        <w:spacing w:line="240" w:lineRule="auto"/>
        <w:ind w:firstLine="0"/>
        <w:rPr>
          <w:rFonts w:cs="Arial"/>
          <w:color w:val="000000"/>
        </w:rPr>
      </w:pPr>
    </w:p>
    <w:p w:rsidR="00BC28B0" w:rsidRPr="00F06860" w:rsidRDefault="00BC28B0" w:rsidP="00BC28B0">
      <w:pPr>
        <w:pStyle w:val="BodyText"/>
        <w:spacing w:line="240" w:lineRule="auto"/>
        <w:ind w:firstLine="0"/>
        <w:rPr>
          <w:rFonts w:cs="Arial"/>
          <w:b/>
          <w:color w:val="000000"/>
        </w:rPr>
      </w:pPr>
      <w:r w:rsidRPr="00F06860">
        <w:rPr>
          <w:rFonts w:cs="Arial"/>
          <w:b/>
          <w:color w:val="000000"/>
        </w:rPr>
        <w:t xml:space="preserve">Title: </w:t>
      </w:r>
      <w:r>
        <w:rPr>
          <w:i/>
          <w:iCs/>
        </w:rPr>
        <w:t>A R</w:t>
      </w:r>
      <w:r w:rsidRPr="004C3353">
        <w:rPr>
          <w:i/>
          <w:iCs/>
        </w:rPr>
        <w:t xml:space="preserve">eason for </w:t>
      </w:r>
      <w:r>
        <w:rPr>
          <w:i/>
          <w:iCs/>
        </w:rPr>
        <w:t>L</w:t>
      </w:r>
      <w:r w:rsidRPr="004C3353">
        <w:rPr>
          <w:i/>
          <w:iCs/>
        </w:rPr>
        <w:t>iving</w:t>
      </w:r>
    </w:p>
    <w:p w:rsidR="00BC28B0" w:rsidRDefault="00BC28B0" w:rsidP="00BC28B0">
      <w:pPr>
        <w:pStyle w:val="BodyText"/>
        <w:spacing w:line="240" w:lineRule="auto"/>
        <w:ind w:firstLine="0"/>
        <w:rPr>
          <w:rFonts w:cs="Arial"/>
          <w:color w:val="000000"/>
        </w:rPr>
      </w:pPr>
    </w:p>
    <w:p w:rsidR="00BC28B0" w:rsidRDefault="00BC28B0" w:rsidP="00BC28B0">
      <w:pPr>
        <w:pStyle w:val="BodyText"/>
        <w:spacing w:line="240" w:lineRule="auto"/>
        <w:ind w:firstLine="0"/>
        <w:rPr>
          <w:rFonts w:cs="Arial"/>
          <w:color w:val="000000"/>
        </w:rPr>
      </w:pPr>
      <w:r w:rsidRPr="00F06860">
        <w:rPr>
          <w:rFonts w:cs="Arial"/>
          <w:b/>
          <w:color w:val="000000"/>
        </w:rPr>
        <w:t>Author:</w:t>
      </w:r>
      <w:r>
        <w:rPr>
          <w:rFonts w:cs="Arial"/>
          <w:color w:val="000000"/>
        </w:rPr>
        <w:t xml:space="preserve"> </w:t>
      </w:r>
      <w:r w:rsidRPr="00F63565">
        <w:rPr>
          <w:rFonts w:cs="Arial"/>
          <w:color w:val="000000"/>
        </w:rPr>
        <w:t xml:space="preserve">Laurent </w:t>
      </w:r>
      <w:proofErr w:type="spellStart"/>
      <w:r w:rsidRPr="00F63565">
        <w:rPr>
          <w:rFonts w:cs="Arial"/>
          <w:color w:val="000000"/>
        </w:rPr>
        <w:t>Grenier</w:t>
      </w:r>
      <w:proofErr w:type="spellEnd"/>
    </w:p>
    <w:p w:rsidR="00BC28B0" w:rsidRDefault="00BC28B0" w:rsidP="00BC28B0">
      <w:pPr>
        <w:pStyle w:val="BodyText"/>
        <w:spacing w:line="240" w:lineRule="auto"/>
        <w:ind w:firstLine="0"/>
      </w:pPr>
    </w:p>
    <w:p w:rsidR="00BC28B0" w:rsidRDefault="00BC28B0" w:rsidP="00BC28B0">
      <w:pPr>
        <w:pStyle w:val="BodyText"/>
        <w:spacing w:line="240" w:lineRule="auto"/>
        <w:ind w:firstLine="0"/>
      </w:pPr>
      <w:r w:rsidRPr="00F06860">
        <w:rPr>
          <w:b/>
        </w:rPr>
        <w:t>Publisher:</w:t>
      </w:r>
      <w:r>
        <w:t xml:space="preserve"> </w:t>
      </w:r>
      <w:proofErr w:type="spellStart"/>
      <w:r>
        <w:t>Nardis</w:t>
      </w:r>
      <w:proofErr w:type="spellEnd"/>
      <w:r>
        <w:t xml:space="preserve"> Press, 2004</w:t>
      </w:r>
    </w:p>
    <w:p w:rsidR="00BC28B0" w:rsidRDefault="00BC28B0" w:rsidP="00BC28B0">
      <w:pPr>
        <w:pStyle w:val="BodyText"/>
        <w:spacing w:line="240" w:lineRule="auto"/>
        <w:ind w:firstLine="0"/>
      </w:pPr>
    </w:p>
    <w:p w:rsidR="00BC28B0" w:rsidRDefault="00BC28B0" w:rsidP="00BC28B0">
      <w:pPr>
        <w:pStyle w:val="BodyText"/>
        <w:spacing w:line="240" w:lineRule="auto"/>
        <w:ind w:firstLine="0"/>
      </w:pPr>
      <w:r>
        <w:t>ISBN: 1589611659, 212 pages</w:t>
      </w:r>
    </w:p>
    <w:p w:rsidR="00BC28B0" w:rsidRDefault="00BC28B0" w:rsidP="00BC28B0">
      <w:pPr>
        <w:pStyle w:val="BodyText"/>
        <w:spacing w:line="240" w:lineRule="auto"/>
        <w:ind w:firstLine="0"/>
      </w:pPr>
    </w:p>
    <w:p w:rsidR="00BC28B0" w:rsidRPr="00F63565" w:rsidRDefault="00BC28B0" w:rsidP="00BC28B0">
      <w:pPr>
        <w:pStyle w:val="BodyText"/>
        <w:spacing w:line="240" w:lineRule="auto"/>
        <w:ind w:firstLine="0"/>
      </w:pPr>
      <w:r w:rsidRPr="00F06860">
        <w:rPr>
          <w:b/>
        </w:rPr>
        <w:t>Cost:</w:t>
      </w:r>
      <w:r w:rsidRPr="00F63565">
        <w:t xml:space="preserve"> </w:t>
      </w:r>
      <w:r>
        <w:t>$12.95 USD</w:t>
      </w:r>
    </w:p>
    <w:p w:rsidR="00BC28B0" w:rsidRDefault="00BC28B0" w:rsidP="00BC28B0">
      <w:pPr>
        <w:pStyle w:val="BodyText"/>
        <w:spacing w:line="240" w:lineRule="auto"/>
        <w:ind w:firstLine="0"/>
      </w:pPr>
    </w:p>
    <w:p w:rsidR="00BC28B0" w:rsidRDefault="00BC28B0" w:rsidP="00BC28B0">
      <w:pPr>
        <w:pStyle w:val="BodyText"/>
        <w:spacing w:line="240" w:lineRule="auto"/>
        <w:ind w:firstLine="0"/>
      </w:pPr>
      <w:r w:rsidRPr="00F06860">
        <w:rPr>
          <w:b/>
        </w:rPr>
        <w:t>Reviewer:</w:t>
      </w:r>
      <w:r>
        <w:t xml:space="preserve"> Arlie </w:t>
      </w:r>
      <w:proofErr w:type="spellStart"/>
      <w:r>
        <w:t>Taganuya</w:t>
      </w:r>
      <w:proofErr w:type="spellEnd"/>
    </w:p>
    <w:p w:rsidR="00BC28B0" w:rsidRDefault="00BC28B0" w:rsidP="00BC28B0"/>
    <w:p w:rsidR="00BC28B0" w:rsidRDefault="00BC28B0" w:rsidP="00BC28B0">
      <w:pPr>
        <w:ind w:firstLine="720"/>
      </w:pPr>
      <w:r w:rsidRPr="00F63565">
        <w:t xml:space="preserve">Disability study is an evolving discipline. </w:t>
      </w:r>
      <w:r>
        <w:t xml:space="preserve">The postmodern turn in the </w:t>
      </w:r>
      <w:smartTag w:uri="urn:schemas-microsoft-com:office:smarttags" w:element="country-region">
        <w:smartTag w:uri="urn:schemas-microsoft-com:office:smarttags" w:element="place">
          <w:r>
            <w:t>United States</w:t>
          </w:r>
        </w:smartTag>
      </w:smartTag>
      <w:r>
        <w:t xml:space="preserve"> academe in the 1960s onward has shifted a great degree of sensibility and sensitivity to issues confronting people with disabilities. A central preoccupation of many contemporary scholars is to capture the everyday and the institutional experiences of people with disabilities. However, most production of disability discourses and ideas are monopolized in universities, research institutions, and other social agencies; failing to incorporate stories of people with disability as a legitimate voice in providing knowledge. Laurent </w:t>
      </w:r>
      <w:proofErr w:type="spellStart"/>
      <w:r>
        <w:t>Grenier’s</w:t>
      </w:r>
      <w:proofErr w:type="spellEnd"/>
      <w:r>
        <w:t xml:space="preserve"> (2004) </w:t>
      </w:r>
      <w:r>
        <w:rPr>
          <w:i/>
        </w:rPr>
        <w:t>A Reason for L</w:t>
      </w:r>
      <w:r w:rsidRPr="000C4EF2">
        <w:rPr>
          <w:i/>
        </w:rPr>
        <w:t>iving</w:t>
      </w:r>
      <w:r>
        <w:t xml:space="preserve"> is an addition to the sparse body of literature responding to the institutional centrism of disability scholarship and putting forward voices previously silenced in academe. </w:t>
      </w:r>
    </w:p>
    <w:p w:rsidR="00BC28B0" w:rsidRDefault="00BC28B0" w:rsidP="00BC28B0">
      <w:pPr>
        <w:ind w:firstLine="720"/>
      </w:pPr>
      <w:r>
        <w:t>This self-published book</w:t>
      </w:r>
      <w:r w:rsidRPr="00F63565">
        <w:rPr>
          <w:i/>
        </w:rPr>
        <w:t xml:space="preserve"> </w:t>
      </w:r>
      <w:r w:rsidRPr="00F63565">
        <w:t>is</w:t>
      </w:r>
      <w:r w:rsidRPr="00F63565">
        <w:rPr>
          <w:i/>
        </w:rPr>
        <w:t xml:space="preserve"> </w:t>
      </w:r>
      <w:r w:rsidRPr="00F63565">
        <w:t xml:space="preserve">an autobiographical sketch of the author’s saga </w:t>
      </w:r>
      <w:r>
        <w:t xml:space="preserve">living with spinal injury </w:t>
      </w:r>
      <w:r w:rsidRPr="00F63565">
        <w:t>after a diving accident</w:t>
      </w:r>
      <w:r>
        <w:t xml:space="preserve"> when he was 17 years old in his native </w:t>
      </w:r>
      <w:smartTag w:uri="urn:schemas-microsoft-com:office:smarttags" w:element="country-region">
        <w:smartTag w:uri="urn:schemas-microsoft-com:office:smarttags" w:element="place">
          <w:r>
            <w:t>Canada</w:t>
          </w:r>
        </w:smartTag>
      </w:smartTag>
      <w:r w:rsidRPr="00F63565">
        <w:t xml:space="preserve">. </w:t>
      </w:r>
      <w:r>
        <w:t>As the title suggest, this book is about finding a new purpose when disability strikes later in life. In what may appear to be another inspirational story,</w:t>
      </w:r>
      <w:r w:rsidRPr="00F63565">
        <w:t xml:space="preserve"> </w:t>
      </w:r>
      <w:r>
        <w:t>the book provides a rich ethnography and critical narratives of</w:t>
      </w:r>
      <w:r w:rsidRPr="00F63565">
        <w:t xml:space="preserve"> the ever pr</w:t>
      </w:r>
      <w:r>
        <w:t xml:space="preserve">esent psychological battle </w:t>
      </w:r>
      <w:r w:rsidRPr="00F63565">
        <w:t xml:space="preserve">and the </w:t>
      </w:r>
      <w:r>
        <w:t xml:space="preserve">societal reaction of a person living with spinal injury, how he deals the varying challenges of his new disability, and how he creates symbolic meaning that may ameliorate his daily struggle. </w:t>
      </w:r>
    </w:p>
    <w:p w:rsidR="00BC28B0" w:rsidRPr="00F63565" w:rsidRDefault="00BC28B0" w:rsidP="00BC28B0">
      <w:pPr>
        <w:ind w:firstLine="720"/>
      </w:pPr>
      <w:r>
        <w:t xml:space="preserve">Laurent </w:t>
      </w:r>
      <w:proofErr w:type="spellStart"/>
      <w:r>
        <w:t>Grenier</w:t>
      </w:r>
      <w:proofErr w:type="spellEnd"/>
      <w:r>
        <w:t xml:space="preserve"> does an outstanding job describing the emotional stages he experienced after his accident. </w:t>
      </w:r>
      <w:r w:rsidRPr="00F63565">
        <w:t xml:space="preserve">The first three chapters describe </w:t>
      </w:r>
      <w:proofErr w:type="spellStart"/>
      <w:r w:rsidRPr="00F63565">
        <w:t>Grenier’s</w:t>
      </w:r>
      <w:proofErr w:type="spellEnd"/>
      <w:r w:rsidRPr="00F63565">
        <w:t xml:space="preserve"> early struggle over his disability, his sense of denial and the frustration of being in a medical institution</w:t>
      </w:r>
      <w:r>
        <w:t xml:space="preserve"> while recuperating and being housed in a long term assistive living</w:t>
      </w:r>
      <w:r w:rsidRPr="00F63565">
        <w:t xml:space="preserve">. </w:t>
      </w:r>
      <w:r>
        <w:t>The f</w:t>
      </w:r>
      <w:r w:rsidRPr="00F63565">
        <w:t>eelings of bitterness</w:t>
      </w:r>
      <w:r>
        <w:t>,</w:t>
      </w:r>
      <w:r w:rsidRPr="00F63565">
        <w:t xml:space="preserve"> death</w:t>
      </w:r>
      <w:r>
        <w:t>-wishes, and the ignorance of people about his condition</w:t>
      </w:r>
      <w:r w:rsidRPr="00F63565">
        <w:t xml:space="preserve"> bec</w:t>
      </w:r>
      <w:r>
        <w:t>a</w:t>
      </w:r>
      <w:r w:rsidRPr="00F63565">
        <w:t xml:space="preserve">me </w:t>
      </w:r>
      <w:r>
        <w:t xml:space="preserve">his </w:t>
      </w:r>
      <w:r w:rsidRPr="00F63565">
        <w:t xml:space="preserve">self-inflicted worries and </w:t>
      </w:r>
      <w:r>
        <w:t>mental preoccupation for years</w:t>
      </w:r>
      <w:r w:rsidRPr="00F63565">
        <w:t xml:space="preserve">. </w:t>
      </w:r>
    </w:p>
    <w:p w:rsidR="00BC28B0" w:rsidRPr="00F63565" w:rsidRDefault="00BC28B0" w:rsidP="00BC28B0">
      <w:pPr>
        <w:ind w:firstLine="720"/>
      </w:pPr>
      <w:r>
        <w:t>The</w:t>
      </w:r>
      <w:r w:rsidRPr="00F63565">
        <w:t xml:space="preserve"> remaining two chapters</w:t>
      </w:r>
      <w:r>
        <w:t xml:space="preserve"> are the</w:t>
      </w:r>
      <w:r w:rsidRPr="00F63565">
        <w:t xml:space="preserve"> central tenet of his </w:t>
      </w:r>
      <w:r>
        <w:t>book</w:t>
      </w:r>
      <w:r w:rsidRPr="00F63565">
        <w:t xml:space="preserve">. </w:t>
      </w:r>
      <w:proofErr w:type="spellStart"/>
      <w:r w:rsidRPr="00F63565">
        <w:t>Grenier’s</w:t>
      </w:r>
      <w:proofErr w:type="spellEnd"/>
      <w:r w:rsidRPr="00F63565">
        <w:t xml:space="preserve"> introduction to poetry</w:t>
      </w:r>
      <w:r>
        <w:t>, art, and philosophy</w:t>
      </w:r>
      <w:r w:rsidRPr="00F63565">
        <w:t xml:space="preserve"> gave him a breakthrough to rediscover his creative expression, new-found athleticism, and social engagement in bringing up issues that affects people with disabilities. Through his poetry, </w:t>
      </w:r>
      <w:proofErr w:type="spellStart"/>
      <w:r w:rsidRPr="00F63565">
        <w:t>Grenier</w:t>
      </w:r>
      <w:proofErr w:type="spellEnd"/>
      <w:r w:rsidRPr="00F63565">
        <w:t xml:space="preserve"> was able to articulate his social difference and rebound from his feeling of hopelessness to mental victory. </w:t>
      </w:r>
    </w:p>
    <w:p w:rsidR="00BC28B0" w:rsidRDefault="00BC28B0" w:rsidP="00BC28B0">
      <w:pPr>
        <w:rPr>
          <w:i/>
        </w:rPr>
      </w:pPr>
      <w:r w:rsidRPr="00F63565">
        <w:tab/>
      </w:r>
      <w:proofErr w:type="spellStart"/>
      <w:r>
        <w:t>Grenier’s</w:t>
      </w:r>
      <w:proofErr w:type="spellEnd"/>
      <w:r>
        <w:t xml:space="preserve"> book does moral work in a number of ways. First, it provides readers deeper insights of the personal struggles of a spinal injury survivor and engages them through </w:t>
      </w:r>
      <w:proofErr w:type="spellStart"/>
      <w:r>
        <w:t>Grenier’s</w:t>
      </w:r>
      <w:proofErr w:type="spellEnd"/>
      <w:r>
        <w:t xml:space="preserve"> lucid depiction of a contextual experience inside an institution.  Second, it opens up a critical dialogue on how our systems of care and policies fail to provide the optimum space to empower people with disabilities to become active participants in our society. Although </w:t>
      </w:r>
      <w:proofErr w:type="spellStart"/>
      <w:r>
        <w:t>Grenier’s</w:t>
      </w:r>
      <w:proofErr w:type="spellEnd"/>
      <w:r>
        <w:t xml:space="preserve"> story </w:t>
      </w:r>
      <w:r>
        <w:lastRenderedPageBreak/>
        <w:t xml:space="preserve">magnifies the importance of personal psychological change, it is in the change of people’s reaction and other societal structures that make </w:t>
      </w:r>
      <w:proofErr w:type="spellStart"/>
      <w:r>
        <w:t>Grenier’s</w:t>
      </w:r>
      <w:proofErr w:type="spellEnd"/>
      <w:r>
        <w:t xml:space="preserve"> living more meaningful. </w:t>
      </w:r>
      <w:r w:rsidRPr="00F63565">
        <w:t xml:space="preserve"> </w:t>
      </w:r>
    </w:p>
    <w:p w:rsidR="00BC28B0" w:rsidRDefault="00BC28B0" w:rsidP="00BC28B0">
      <w:r>
        <w:rPr>
          <w:i/>
        </w:rPr>
        <w:tab/>
      </w:r>
      <w:r>
        <w:t>T</w:t>
      </w:r>
      <w:r w:rsidRPr="00F63565">
        <w:t xml:space="preserve">he </w:t>
      </w:r>
      <w:r>
        <w:t>epic-like structure</w:t>
      </w:r>
      <w:r w:rsidRPr="00F63565">
        <w:t xml:space="preserve"> of the book </w:t>
      </w:r>
      <w:r>
        <w:t xml:space="preserve">allows the reader to follow clearly his personal journey. However, the book is organized broadly. Often chapters swing from his personal experience to his philosophical insights. This style of writing attempts to connect reality and the metaphysical and may not be for everyone. But </w:t>
      </w:r>
      <w:proofErr w:type="spellStart"/>
      <w:r>
        <w:t>Grenier’s</w:t>
      </w:r>
      <w:proofErr w:type="spellEnd"/>
      <w:r>
        <w:t xml:space="preserve"> command of the language provides a more profound pictures and insights for his readers. </w:t>
      </w:r>
    </w:p>
    <w:p w:rsidR="00BC28B0" w:rsidRDefault="00BC28B0" w:rsidP="00BC28B0">
      <w:r>
        <w:tab/>
        <w:t xml:space="preserve">The detailed table of contents needs to be reflected as subheading in the main text. This allows the readers to have a clear idea of the logical flow without referring to the table. Yet, this minute flaw </w:t>
      </w:r>
      <w:r w:rsidRPr="00F63565">
        <w:t>does not diminish the book’s importance, especially for those who are studying the emerging discourses in disability studies or simply readers wanting to be inspired.</w:t>
      </w:r>
      <w:r>
        <w:t xml:space="preserve"> The book is not short of realism and essence. It anchors hope and transformation to ordinary lives with or without disability. It is a must-read. </w:t>
      </w:r>
    </w:p>
    <w:p w:rsidR="00BC28B0" w:rsidRPr="00F63565" w:rsidRDefault="00BC28B0" w:rsidP="00BC28B0"/>
    <w:p w:rsidR="00BC28B0" w:rsidRPr="00F63565" w:rsidRDefault="00BC28B0" w:rsidP="00BC28B0">
      <w:r w:rsidRPr="00C81650">
        <w:rPr>
          <w:b/>
        </w:rPr>
        <w:t xml:space="preserve">Arlie </w:t>
      </w:r>
      <w:proofErr w:type="spellStart"/>
      <w:r w:rsidRPr="00C81650">
        <w:rPr>
          <w:b/>
        </w:rPr>
        <w:t>Tagayuna</w:t>
      </w:r>
      <w:proofErr w:type="spellEnd"/>
      <w:r w:rsidRPr="00F63565">
        <w:t xml:space="preserve"> is a Ph.D. Candidate in the Department of Sociology </w:t>
      </w:r>
      <w:r>
        <w:t xml:space="preserve">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Hawai</w:t>
          </w:r>
        </w:smartTag>
      </w:smartTag>
      <w:r>
        <w:t>‘</w:t>
      </w:r>
      <w:r w:rsidRPr="00F63565">
        <w:t>i-</w:t>
      </w:r>
      <w:proofErr w:type="spellStart"/>
      <w:r w:rsidRPr="00F63565">
        <w:t>Manoa</w:t>
      </w:r>
      <w:proofErr w:type="spellEnd"/>
      <w:r w:rsidRPr="00F63565">
        <w:t xml:space="preserve"> </w:t>
      </w:r>
      <w:r>
        <w:t xml:space="preserve">specializing in the field of delinquency and disability. He is currently a lecturer with the Center for Southeast Asian Studies and the Department of Languages and Culture of Asia at the University of Wisconsin-Madison. Arlie can be reached at </w:t>
      </w:r>
      <w:hyperlink r:id="rId4" w:history="1">
        <w:r w:rsidRPr="000E26C7">
          <w:rPr>
            <w:rStyle w:val="Hyperlink"/>
            <w:rFonts w:eastAsiaTheme="majorEastAsia"/>
          </w:rPr>
          <w:t>arlie@hawaii.edu</w:t>
        </w:r>
      </w:hyperlink>
      <w:r>
        <w:t xml:space="preserve"> or tagayuna@wisc.edu.</w:t>
      </w:r>
    </w:p>
    <w:p w:rsidR="00477C51" w:rsidRDefault="00BC28B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8B0"/>
    <w:rsid w:val="0057039B"/>
    <w:rsid w:val="006213E4"/>
    <w:rsid w:val="009C0AF0"/>
    <w:rsid w:val="00A34430"/>
    <w:rsid w:val="00A4593A"/>
    <w:rsid w:val="00BC28B0"/>
    <w:rsid w:val="00DF14AE"/>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B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BC28B0"/>
    <w:pPr>
      <w:spacing w:line="480" w:lineRule="auto"/>
      <w:ind w:firstLine="720"/>
    </w:pPr>
    <w:rPr>
      <w:rFonts w:eastAsia="新細明體"/>
      <w:szCs w:val="20"/>
    </w:rPr>
  </w:style>
  <w:style w:type="character" w:customStyle="1" w:styleId="BodyTextChar">
    <w:name w:val="Body Text Char"/>
    <w:basedOn w:val="DefaultParagraphFont"/>
    <w:link w:val="BodyText"/>
    <w:rsid w:val="00BC28B0"/>
    <w:rPr>
      <w:rFonts w:ascii="Times New Roman" w:eastAsia="新細明體" w:hAnsi="Times New Roman" w:cs="Times New Roman"/>
      <w:sz w:val="24"/>
      <w:szCs w:val="20"/>
      <w:lang w:bidi="ar-SA"/>
    </w:rPr>
  </w:style>
  <w:style w:type="character" w:styleId="Hyperlink">
    <w:name w:val="Hyperlink"/>
    <w:basedOn w:val="DefaultParagraphFont"/>
    <w:rsid w:val="00BC28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lie@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2014-12-03T19:33:00Z</dcterms:created>
  <dcterms:modified xsi:type="dcterms:W3CDTF">2014-12-03T19:33:00Z</dcterms:modified>
</cp:coreProperties>
</file>