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17" w:rsidRPr="00056317" w:rsidRDefault="00056317" w:rsidP="00056317">
      <w:pPr>
        <w:pStyle w:val="NoSpacing"/>
        <w:contextualSpacing/>
        <w:jc w:val="center"/>
        <w:rPr>
          <w:rFonts w:ascii="Times New Roman" w:hAnsi="Times New Roman"/>
          <w:sz w:val="24"/>
          <w:szCs w:val="24"/>
        </w:rPr>
      </w:pPr>
      <w:r w:rsidRPr="00056317">
        <w:rPr>
          <w:rFonts w:ascii="Times New Roman" w:hAnsi="Times New Roman"/>
          <w:sz w:val="24"/>
          <w:szCs w:val="24"/>
        </w:rPr>
        <w:t xml:space="preserve">Music to My (Deaf) Ears: The Installation Work of Joseph </w:t>
      </w:r>
      <w:proofErr w:type="spellStart"/>
      <w:r w:rsidRPr="00056317">
        <w:rPr>
          <w:rFonts w:ascii="Times New Roman" w:hAnsi="Times New Roman"/>
          <w:sz w:val="24"/>
          <w:szCs w:val="24"/>
        </w:rPr>
        <w:t>Grigely</w:t>
      </w:r>
      <w:proofErr w:type="spellEnd"/>
    </w:p>
    <w:p w:rsidR="00056317" w:rsidRPr="00056317" w:rsidRDefault="00056317" w:rsidP="00056317">
      <w:pPr>
        <w:jc w:val="center"/>
      </w:pPr>
      <w:r w:rsidRPr="00056317">
        <w:t>Ann Millett</w:t>
      </w:r>
    </w:p>
    <w:p w:rsidR="00056317" w:rsidRPr="00056317" w:rsidRDefault="00056317" w:rsidP="00056317">
      <w:pPr>
        <w:jc w:val="center"/>
      </w:pPr>
    </w:p>
    <w:p w:rsidR="00056317" w:rsidRPr="00056317" w:rsidRDefault="00056317" w:rsidP="00056317">
      <w:r w:rsidRPr="00056317">
        <w:rPr>
          <w:b/>
        </w:rPr>
        <w:t>Abstract:</w:t>
      </w:r>
      <w:r w:rsidRPr="00056317">
        <w:t xml:space="preserve"> The </w:t>
      </w:r>
      <w:proofErr w:type="gramStart"/>
      <w:r w:rsidRPr="00056317">
        <w:t xml:space="preserve">installations of artist and literary theorist Joseph </w:t>
      </w:r>
      <w:proofErr w:type="spellStart"/>
      <w:r w:rsidRPr="00056317">
        <w:t>Grigely</w:t>
      </w:r>
      <w:proofErr w:type="spellEnd"/>
      <w:r w:rsidRPr="00056317">
        <w:t xml:space="preserve"> compose memories, mannerisms, messages, (</w:t>
      </w:r>
      <w:proofErr w:type="spellStart"/>
      <w:r w:rsidRPr="00056317">
        <w:t>mis</w:t>
      </w:r>
      <w:proofErr w:type="spellEnd"/>
      <w:r w:rsidRPr="00056317">
        <w:t>)communications, and music to explore the perceptions of and interfaces</w:t>
      </w:r>
      <w:proofErr w:type="gramEnd"/>
      <w:r w:rsidRPr="00056317">
        <w:t xml:space="preserve"> between deaf and non-deaf worlds.  </w:t>
      </w:r>
      <w:proofErr w:type="spellStart"/>
      <w:r w:rsidRPr="00056317">
        <w:t>Grigely</w:t>
      </w:r>
      <w:proofErr w:type="spellEnd"/>
      <w:r w:rsidRPr="00056317">
        <w:t xml:space="preserve"> has been deaf since the age of ten.  His visual and literary works exhibit memory and communication as multi-sensual and fragmented, while they deconstruct stereotypes of deafness.</w:t>
      </w:r>
    </w:p>
    <w:p w:rsidR="00056317" w:rsidRPr="00056317" w:rsidRDefault="00056317" w:rsidP="00056317"/>
    <w:p w:rsidR="00056317" w:rsidRPr="00056317" w:rsidRDefault="00056317" w:rsidP="00056317">
      <w:r w:rsidRPr="00056317">
        <w:rPr>
          <w:b/>
        </w:rPr>
        <w:t xml:space="preserve">Key Words: </w:t>
      </w:r>
      <w:r w:rsidRPr="00056317">
        <w:t>Artwork, deafness, music</w:t>
      </w:r>
    </w:p>
    <w:p w:rsidR="00056317" w:rsidRPr="00056317" w:rsidRDefault="00056317" w:rsidP="00056317">
      <w:pPr>
        <w:jc w:val="center"/>
      </w:pPr>
    </w:p>
    <w:p w:rsidR="00056317" w:rsidRPr="00056317" w:rsidRDefault="00056317" w:rsidP="00056317">
      <w:pPr>
        <w:ind w:left="2160" w:firstLine="720"/>
      </w:pPr>
      <w:r w:rsidRPr="00056317">
        <w:t>"Can you feel the music?"</w:t>
      </w:r>
    </w:p>
    <w:p w:rsidR="00056317" w:rsidRPr="00056317" w:rsidRDefault="00056317" w:rsidP="00056317">
      <w:pPr>
        <w:ind w:left="2160" w:firstLine="720"/>
        <w:rPr>
          <w:vertAlign w:val="superscript"/>
        </w:rPr>
      </w:pPr>
      <w:r w:rsidRPr="00056317">
        <w:t>"It's just hard to be a rock star after say, 33."</w:t>
      </w:r>
      <w:r>
        <w:rPr>
          <w:vertAlign w:val="superscript"/>
        </w:rPr>
        <w:t>1</w:t>
      </w:r>
    </w:p>
    <w:p w:rsidR="00056317" w:rsidRPr="00056317" w:rsidRDefault="00056317" w:rsidP="00056317"/>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The work of artist and literary theorist Joseph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composes memories, mannerisms, messages, (</w:t>
      </w:r>
      <w:proofErr w:type="spellStart"/>
      <w:r w:rsidRPr="00056317">
        <w:rPr>
          <w:rFonts w:ascii="Times New Roman" w:hAnsi="Times New Roman"/>
          <w:sz w:val="24"/>
          <w:szCs w:val="24"/>
        </w:rPr>
        <w:t>mis</w:t>
      </w:r>
      <w:proofErr w:type="spellEnd"/>
      <w:r w:rsidRPr="00056317">
        <w:rPr>
          <w:rFonts w:ascii="Times New Roman" w:hAnsi="Times New Roman"/>
          <w:sz w:val="24"/>
          <w:szCs w:val="24"/>
        </w:rPr>
        <w:t xml:space="preserve">)communications, and music.  The pieces convey the various meanings of the verb </w:t>
      </w:r>
      <w:r w:rsidRPr="00056317">
        <w:rPr>
          <w:rFonts w:ascii="Times New Roman" w:hAnsi="Times New Roman"/>
          <w:i/>
          <w:sz w:val="24"/>
          <w:szCs w:val="24"/>
        </w:rPr>
        <w:t>to compose</w:t>
      </w:r>
      <w:r w:rsidRPr="00056317">
        <w:rPr>
          <w:rFonts w:ascii="Times New Roman" w:hAnsi="Times New Roman"/>
          <w:sz w:val="24"/>
          <w:szCs w:val="24"/>
        </w:rPr>
        <w:t xml:space="preserve">: to invent, to create, to collect and arrange, to write text or music, and to make art.  His art installations, the focus of this paper, are multimedia and multisensory compositions.  They make visible improvisational, fragmented, and dissonant rhythms and voices.  These works and their musical themes inform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larger project of exploring the perceptions of and interfaces between deaf and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worlds.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Music reverberates throughout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written and visual forms, which seems at first ironic in light of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deafness (due to an accident at the age of 10).  His installation </w:t>
      </w:r>
      <w:r w:rsidRPr="00056317">
        <w:rPr>
          <w:rFonts w:ascii="Times New Roman" w:hAnsi="Times New Roman"/>
          <w:i/>
          <w:sz w:val="24"/>
          <w:szCs w:val="24"/>
        </w:rPr>
        <w:t>Remembering is a Difficult Job, But Someone Has to Do It</w:t>
      </w:r>
      <w:r w:rsidRPr="00056317">
        <w:rPr>
          <w:rFonts w:ascii="Times New Roman" w:hAnsi="Times New Roman"/>
          <w:sz w:val="24"/>
          <w:szCs w:val="24"/>
        </w:rPr>
        <w:t xml:space="preserve"> (2005) (</w:t>
      </w:r>
      <w:hyperlink w:anchor="MillettFig1" w:history="1">
        <w:r w:rsidRPr="00056317">
          <w:rPr>
            <w:rStyle w:val="Hyperlink"/>
            <w:rFonts w:ascii="Times New Roman" w:hAnsi="Times New Roman"/>
            <w:color w:val="auto"/>
            <w:sz w:val="24"/>
            <w:szCs w:val="24"/>
          </w:rPr>
          <w:t>fig. 1</w:t>
        </w:r>
      </w:hyperlink>
      <w:r w:rsidRPr="00056317">
        <w:rPr>
          <w:rFonts w:ascii="Times New Roman" w:hAnsi="Times New Roman"/>
          <w:sz w:val="24"/>
          <w:szCs w:val="24"/>
        </w:rPr>
        <w:t xml:space="preserve">) centers on the artist’s fond memories of the television show “Gilligan’s Island”; clips of the show’s introduction and unforgettable jingle are projected throughout the gallery against theatrical backdrops (photographs of ocean scenes), film stills of the cast, and imagined visions of a fictive paradise.  The work ties visual culture and, most profoundly, sound to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memories of childhood, such that it encompasses his memories of hearing and embodied perceptions prior to his accident.  The work portrays the phenomenological experiences of hearing loss in a multi-sensorial experience for the viewer, as the music jingle becomes a tactile, visual element in the piece.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recent work </w:t>
      </w:r>
      <w:r w:rsidRPr="00056317">
        <w:rPr>
          <w:rFonts w:ascii="Times New Roman" w:hAnsi="Times New Roman"/>
          <w:i/>
          <w:sz w:val="24"/>
          <w:szCs w:val="24"/>
        </w:rPr>
        <w:t>St. Cecelia</w:t>
      </w:r>
      <w:r w:rsidRPr="00056317">
        <w:rPr>
          <w:rFonts w:ascii="Times New Roman" w:hAnsi="Times New Roman"/>
          <w:sz w:val="24"/>
          <w:szCs w:val="24"/>
        </w:rPr>
        <w:t xml:space="preserve"> (named after the patron saint of music) takes these themes further, as he collaborates with the Baltimore Choral Arts Society to create a video of Christmas carols, performed by the choir and rewritten by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to reflect common misperceptions of lyrics.</w:t>
      </w:r>
      <w:r>
        <w:rPr>
          <w:rFonts w:ascii="Times New Roman" w:hAnsi="Times New Roman"/>
          <w:sz w:val="24"/>
          <w:szCs w:val="24"/>
          <w:vertAlign w:val="superscript"/>
        </w:rPr>
        <w:t>2</w:t>
      </w:r>
      <w:r w:rsidRPr="00056317">
        <w:rPr>
          <w:rFonts w:ascii="Times New Roman" w:hAnsi="Times New Roman"/>
          <w:sz w:val="24"/>
          <w:szCs w:val="24"/>
        </w:rPr>
        <w:t xml:space="preserv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here comments on the nature of perception for individuals with all levels of hearing capability, for the jumbling lyrics in order to keep the rhythm of music intact is a common mistake for all, and yet particularly amplified when one is lip reading.</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This kind of amusing juxtaposition of words and mistaken meanings characterize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most pervasive visual work.  The two snippets quoted above are drawn from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series of </w:t>
      </w:r>
      <w:r w:rsidRPr="00056317">
        <w:rPr>
          <w:rFonts w:ascii="Times New Roman" w:hAnsi="Times New Roman"/>
          <w:i/>
          <w:sz w:val="24"/>
          <w:szCs w:val="24"/>
        </w:rPr>
        <w:t>Conversations</w:t>
      </w:r>
      <w:r w:rsidRPr="00056317">
        <w:rPr>
          <w:rFonts w:ascii="Times New Roman" w:hAnsi="Times New Roman"/>
          <w:sz w:val="24"/>
          <w:szCs w:val="24"/>
        </w:rPr>
        <w:t xml:space="preserve"> </w:t>
      </w:r>
      <w:r w:rsidRPr="00056317">
        <w:rPr>
          <w:rFonts w:ascii="Times New Roman" w:hAnsi="Times New Roman"/>
          <w:i/>
          <w:sz w:val="24"/>
          <w:szCs w:val="24"/>
        </w:rPr>
        <w:t>with the Hearing</w:t>
      </w:r>
      <w:r w:rsidRPr="00056317">
        <w:rPr>
          <w:rFonts w:ascii="Times New Roman" w:hAnsi="Times New Roman"/>
          <w:sz w:val="24"/>
          <w:szCs w:val="24"/>
        </w:rPr>
        <w:t xml:space="preserve"> installations, in which he assembles on gallery walls and incorporates into three dimensional installations pieces of dialogue written on paper for him by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people.  The random records of speech often become ironic and humorous in juxtaposition and lead the viewer to question the arbitrary nature of communication. For example, in what context does one respond, “It’s hard to be a rock star after say 33”?  One could </w:t>
      </w:r>
      <w:r w:rsidRPr="00056317">
        <w:rPr>
          <w:rFonts w:ascii="Times New Roman" w:hAnsi="Times New Roman"/>
          <w:sz w:val="24"/>
          <w:szCs w:val="24"/>
        </w:rPr>
        <w:lastRenderedPageBreak/>
        <w:t xml:space="preserve">imagine a conversation partner writing to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“Can you feel the music</w:t>
      </w:r>
      <w:proofErr w:type="gramStart"/>
      <w:r w:rsidRPr="00056317">
        <w:rPr>
          <w:rFonts w:ascii="Times New Roman" w:hAnsi="Times New Roman"/>
          <w:sz w:val="24"/>
          <w:szCs w:val="24"/>
        </w:rPr>
        <w:t>?,</w:t>
      </w:r>
      <w:proofErr w:type="gramEnd"/>
      <w:r w:rsidRPr="00056317">
        <w:rPr>
          <w:rFonts w:ascii="Times New Roman" w:hAnsi="Times New Roman"/>
          <w:sz w:val="24"/>
          <w:szCs w:val="24"/>
        </w:rPr>
        <w:t xml:space="preserve">” due to his deafness, although this phrase is also a familiar dance expression.  By sampling such comments and mediating them through visual arrangement,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frames his own fragmented perceptions of communication in a world that does not accommodate deafness.  These themes extend beyond the perceptual frames of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body, as the works visually portray the disjointedness and </w:t>
      </w:r>
      <w:proofErr w:type="spellStart"/>
      <w:r w:rsidRPr="00056317">
        <w:rPr>
          <w:rFonts w:ascii="Times New Roman" w:hAnsi="Times New Roman"/>
          <w:sz w:val="24"/>
          <w:szCs w:val="24"/>
        </w:rPr>
        <w:t>performativity</w:t>
      </w:r>
      <w:proofErr w:type="spellEnd"/>
      <w:r w:rsidRPr="00056317">
        <w:rPr>
          <w:rFonts w:ascii="Times New Roman" w:hAnsi="Times New Roman"/>
          <w:sz w:val="24"/>
          <w:szCs w:val="24"/>
        </w:rPr>
        <w:t xml:space="preserve"> of all human memory and communication.</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Irony is at the heart of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His primary subject is visual and oral mediation and the mixed messages inevitably produced.  Communication, particularly in our technologically driven culture of emails, cell phones, text and instant messages, the internet, and online chatting and blogging, is endlessly disjointed.  Despite, and perhaps </w:t>
      </w:r>
      <w:r w:rsidRPr="00056317">
        <w:rPr>
          <w:rFonts w:ascii="Times New Roman" w:hAnsi="Times New Roman"/>
          <w:i/>
          <w:sz w:val="24"/>
          <w:szCs w:val="24"/>
        </w:rPr>
        <w:t>because</w:t>
      </w:r>
      <w:r w:rsidRPr="00056317">
        <w:rPr>
          <w:rFonts w:ascii="Times New Roman" w:hAnsi="Times New Roman"/>
          <w:sz w:val="24"/>
          <w:szCs w:val="24"/>
        </w:rPr>
        <w:t xml:space="preserve"> of all the communicating devices at our hands, lips, and ears, miscommunication defines contemporary culture.  Similarly, memory proves always multisensory and fragmented.  For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remembering the musical jingle to Gilligan’s Island is no more a feat than anyone, hearing-impaired or otherwise, recalling music or words from the past.  The show itself and viewers’ memories of it are based in imagination.  What most people remember </w:t>
      </w:r>
      <w:proofErr w:type="spellStart"/>
      <w:r w:rsidRPr="00056317">
        <w:rPr>
          <w:rFonts w:ascii="Times New Roman" w:hAnsi="Times New Roman"/>
          <w:sz w:val="24"/>
          <w:szCs w:val="24"/>
        </w:rPr>
        <w:t>iconically</w:t>
      </w:r>
      <w:proofErr w:type="spellEnd"/>
      <w:r w:rsidRPr="00056317">
        <w:rPr>
          <w:rFonts w:ascii="Times New Roman" w:hAnsi="Times New Roman"/>
          <w:sz w:val="24"/>
          <w:szCs w:val="24"/>
        </w:rPr>
        <w:t xml:space="preserve"> and exclusively from the musical jingle is the repetition of, “A three hour tour, a three hour tour,” as well as the melodious run down of the cast’s identities, from Gilligan to Mary Ann.  Again, such random sampling composes human memories and experiences.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The seemingly antithetical, indeed ironic juxtaposition of music with deafness is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point.  The notion that those with hearing loss cannot experience and enjoy music is a common misconception, for the majority have some range of aural access to music along the spectrum of hearing loss, and all people (deaf and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experience music orally, visually, and sensationally to varying degrees; after all, “feeling the music” can elicit a physical and emotional act of memory, joy, or catharsis.  Music educators Ann-Alice Darrow and Diane Merchant Loomis (1999) investigate how pervasive stereotypes of deafness in the media affect perceptions about students with hearing loss, finding repeated scenarios in cultural representations in which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characters pity those with hearing loss for their inability to hear music.  Music defines the “lack” associated with deafness in popular representations.  The work of many deaf musicians, such as Jamie </w:t>
      </w:r>
      <w:proofErr w:type="spellStart"/>
      <w:r w:rsidRPr="00056317">
        <w:rPr>
          <w:rFonts w:ascii="Times New Roman" w:hAnsi="Times New Roman"/>
          <w:sz w:val="24"/>
          <w:szCs w:val="24"/>
        </w:rPr>
        <w:t>Berke</w:t>
      </w:r>
      <w:proofErr w:type="spellEnd"/>
      <w:r w:rsidRPr="00056317">
        <w:rPr>
          <w:rFonts w:ascii="Times New Roman" w:hAnsi="Times New Roman"/>
          <w:sz w:val="24"/>
          <w:szCs w:val="24"/>
        </w:rPr>
        <w:t xml:space="preserve">, percussionists Evelyn </w:t>
      </w:r>
      <w:proofErr w:type="spellStart"/>
      <w:r w:rsidRPr="00056317">
        <w:rPr>
          <w:rFonts w:ascii="Times New Roman" w:hAnsi="Times New Roman"/>
          <w:sz w:val="24"/>
          <w:szCs w:val="24"/>
        </w:rPr>
        <w:t>Glennie</w:t>
      </w:r>
      <w:proofErr w:type="spellEnd"/>
      <w:r w:rsidRPr="00056317">
        <w:rPr>
          <w:rFonts w:ascii="Times New Roman" w:hAnsi="Times New Roman"/>
          <w:sz w:val="24"/>
          <w:szCs w:val="24"/>
        </w:rPr>
        <w:t xml:space="preserve"> and Shawn Dale Barnett, and the rock band Beethoven’s Nightmare, as well as the popular Gallaudet Dance Company and a 2000 production of the musical </w:t>
      </w:r>
      <w:r w:rsidRPr="00056317">
        <w:rPr>
          <w:rFonts w:ascii="Times New Roman" w:hAnsi="Times New Roman"/>
          <w:i/>
          <w:sz w:val="24"/>
          <w:szCs w:val="24"/>
        </w:rPr>
        <w:t>West Side Story</w:t>
      </w:r>
      <w:r w:rsidRPr="00056317">
        <w:rPr>
          <w:rFonts w:ascii="Times New Roman" w:hAnsi="Times New Roman"/>
          <w:sz w:val="24"/>
          <w:szCs w:val="24"/>
        </w:rPr>
        <w:t xml:space="preserve">, performed at </w:t>
      </w:r>
      <w:proofErr w:type="spellStart"/>
      <w:r w:rsidRPr="00056317">
        <w:rPr>
          <w:rFonts w:ascii="Times New Roman" w:hAnsi="Times New Roman"/>
          <w:sz w:val="24"/>
          <w:szCs w:val="24"/>
        </w:rPr>
        <w:t>MacMurray</w:t>
      </w:r>
      <w:proofErr w:type="spellEnd"/>
      <w:r w:rsidRPr="00056317">
        <w:rPr>
          <w:rFonts w:ascii="Times New Roman" w:hAnsi="Times New Roman"/>
          <w:sz w:val="24"/>
          <w:szCs w:val="24"/>
        </w:rPr>
        <w:t xml:space="preserve"> College in Jacksonville, Illinois, with students from the Illinois School for the Deaf as the Sharks </w:t>
      </w:r>
      <w:r w:rsidRPr="00056317">
        <w:rPr>
          <w:rFonts w:ascii="Times New Roman" w:hAnsi="Times New Roman"/>
          <w:i/>
          <w:sz w:val="24"/>
          <w:szCs w:val="24"/>
        </w:rPr>
        <w:t>Deaf Side Story</w:t>
      </w:r>
      <w:r w:rsidRPr="00056317">
        <w:rPr>
          <w:rFonts w:ascii="Times New Roman" w:hAnsi="Times New Roman"/>
          <w:sz w:val="24"/>
          <w:szCs w:val="24"/>
        </w:rPr>
        <w:t xml:space="preserve"> (</w:t>
      </w:r>
      <w:proofErr w:type="spellStart"/>
      <w:r w:rsidRPr="00056317">
        <w:rPr>
          <w:rFonts w:ascii="Times New Roman" w:hAnsi="Times New Roman"/>
          <w:sz w:val="24"/>
          <w:szCs w:val="24"/>
        </w:rPr>
        <w:t>Rigney</w:t>
      </w:r>
      <w:proofErr w:type="spellEnd"/>
      <w:r w:rsidRPr="00056317">
        <w:rPr>
          <w:rFonts w:ascii="Times New Roman" w:hAnsi="Times New Roman"/>
          <w:sz w:val="24"/>
          <w:szCs w:val="24"/>
        </w:rPr>
        <w:t xml:space="preserve">, 2003), adamantly challenge this false assumption.  Likewise,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takes to task the assumed disconnection between deafness and music.  Darrow and Loomis add that making rhythm visual greatly adds to deaf students' perception and enjoyment of music; in relation,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creates a rhythm of words and sounds with his artwork, making visual the dynamics of conversation and music.  Darrow and Loomis define the popular assumption that a hearing impairment forecloses one’s access to music as a form of ethnocentrism – the act of judging and degrading another culture by the standards of one’s own.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turns the tables on such ethnocentric biases and historical practices.  His </w:t>
      </w:r>
      <w:r w:rsidRPr="00056317">
        <w:rPr>
          <w:rFonts w:ascii="Times New Roman" w:hAnsi="Times New Roman"/>
          <w:i/>
          <w:sz w:val="24"/>
          <w:szCs w:val="24"/>
        </w:rPr>
        <w:t>Conversations with the Hearing</w:t>
      </w:r>
      <w:r w:rsidRPr="00056317">
        <w:rPr>
          <w:rFonts w:ascii="Times New Roman" w:hAnsi="Times New Roman"/>
          <w:sz w:val="24"/>
          <w:szCs w:val="24"/>
        </w:rPr>
        <w:t xml:space="preserve"> installations invert the scenario of the Western “able-bodied” scientist studying the deaf “Other,” as he performs an archeology of conversations, records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culture in fragments, and displays his archive (Davidson, 2002).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hearing loss and need to communicate with </w:t>
      </w:r>
      <w:proofErr w:type="spellStart"/>
      <w:r w:rsidRPr="00056317">
        <w:rPr>
          <w:rFonts w:ascii="Times New Roman" w:hAnsi="Times New Roman"/>
          <w:sz w:val="24"/>
          <w:szCs w:val="24"/>
        </w:rPr>
        <w:lastRenderedPageBreak/>
        <w:t>nondeaf</w:t>
      </w:r>
      <w:proofErr w:type="spellEnd"/>
      <w:r w:rsidRPr="00056317">
        <w:rPr>
          <w:rFonts w:ascii="Times New Roman" w:hAnsi="Times New Roman"/>
          <w:sz w:val="24"/>
          <w:szCs w:val="24"/>
        </w:rPr>
        <w:t xml:space="preserve"> populations make this work possible, as deafness becomes the source and inspiration for art.</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also inverts the traditional hierarchy of </w:t>
      </w:r>
      <w:proofErr w:type="spellStart"/>
      <w:r w:rsidRPr="00056317">
        <w:rPr>
          <w:rFonts w:ascii="Times New Roman" w:hAnsi="Times New Roman"/>
          <w:sz w:val="24"/>
          <w:szCs w:val="24"/>
        </w:rPr>
        <w:t>oralism</w:t>
      </w:r>
      <w:proofErr w:type="spellEnd"/>
      <w:r w:rsidRPr="00056317">
        <w:rPr>
          <w:rFonts w:ascii="Times New Roman" w:hAnsi="Times New Roman"/>
          <w:sz w:val="24"/>
          <w:szCs w:val="24"/>
        </w:rPr>
        <w:t xml:space="preserve"> and sign language in the Deaf/deaf community.  The distinction between these two terms relates to whether one was born with or acquired deafness, how oral one is or chooses to be, and how one identifies himself or herself.  People who are “deaf” tend to be more oral, as many (like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have been at one time part of the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population.  This term often refers to hearing-impairment in general, whereas “Deaf” individuals share a common language of sign and consider themselves a linguistic minority.  </w:t>
      </w:r>
      <w:proofErr w:type="spellStart"/>
      <w:r w:rsidRPr="00056317">
        <w:rPr>
          <w:rFonts w:ascii="Times New Roman" w:hAnsi="Times New Roman"/>
          <w:sz w:val="24"/>
          <w:szCs w:val="24"/>
        </w:rPr>
        <w:t>Oralism</w:t>
      </w:r>
      <w:proofErr w:type="spellEnd"/>
      <w:r w:rsidRPr="00056317">
        <w:rPr>
          <w:rFonts w:ascii="Times New Roman" w:hAnsi="Times New Roman"/>
          <w:sz w:val="24"/>
          <w:szCs w:val="24"/>
        </w:rPr>
        <w:t xml:space="preserve">, the practice of communicating through speech versus sign language and </w:t>
      </w:r>
      <w:proofErr w:type="gramStart"/>
      <w:r w:rsidRPr="00056317">
        <w:rPr>
          <w:rFonts w:ascii="Times New Roman" w:hAnsi="Times New Roman"/>
          <w:sz w:val="24"/>
          <w:szCs w:val="24"/>
        </w:rPr>
        <w:t>the predominate</w:t>
      </w:r>
      <w:proofErr w:type="gramEnd"/>
      <w:r w:rsidRPr="00056317">
        <w:rPr>
          <w:rFonts w:ascii="Times New Roman" w:hAnsi="Times New Roman"/>
          <w:sz w:val="24"/>
          <w:szCs w:val="24"/>
        </w:rPr>
        <w:t xml:space="preserve"> basis of deaf education, has a long ideological history, associated with not only </w:t>
      </w:r>
      <w:proofErr w:type="spellStart"/>
      <w:r w:rsidRPr="00056317">
        <w:rPr>
          <w:rFonts w:ascii="Times New Roman" w:hAnsi="Times New Roman"/>
          <w:sz w:val="24"/>
          <w:szCs w:val="24"/>
        </w:rPr>
        <w:t>ableism</w:t>
      </w:r>
      <w:proofErr w:type="spellEnd"/>
      <w:r w:rsidRPr="00056317">
        <w:rPr>
          <w:rFonts w:ascii="Times New Roman" w:hAnsi="Times New Roman"/>
          <w:sz w:val="24"/>
          <w:szCs w:val="24"/>
        </w:rPr>
        <w:t xml:space="preserve"> (ethnocentrism of the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but also eugenics of the “deficient” (</w:t>
      </w:r>
      <w:proofErr w:type="spellStart"/>
      <w:r w:rsidRPr="00056317">
        <w:rPr>
          <w:rFonts w:ascii="Times New Roman" w:hAnsi="Times New Roman"/>
          <w:sz w:val="24"/>
          <w:szCs w:val="24"/>
        </w:rPr>
        <w:t>Mirzoeff</w:t>
      </w:r>
      <w:proofErr w:type="spellEnd"/>
      <w:r w:rsidRPr="00056317">
        <w:rPr>
          <w:rFonts w:ascii="Times New Roman" w:hAnsi="Times New Roman"/>
          <w:sz w:val="24"/>
          <w:szCs w:val="24"/>
        </w:rPr>
        <w:t xml:space="preserve">, 1995).  According to these traditions, deaf people were supposedly “cured” when they could most conform to the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oral world.</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The privileging of spoken over written word, which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works challenge, transcends deaf histories.  In Western theology and theory, the oral word is associated with truth and logic.  Jacques Derrida and other post-</w:t>
      </w:r>
      <w:proofErr w:type="spellStart"/>
      <w:r w:rsidRPr="00056317">
        <w:rPr>
          <w:rFonts w:ascii="Times New Roman" w:hAnsi="Times New Roman"/>
          <w:sz w:val="24"/>
          <w:szCs w:val="24"/>
        </w:rPr>
        <w:t>structuralists</w:t>
      </w:r>
      <w:proofErr w:type="spellEnd"/>
      <w:r w:rsidRPr="00056317">
        <w:rPr>
          <w:rFonts w:ascii="Times New Roman" w:hAnsi="Times New Roman"/>
          <w:sz w:val="24"/>
          <w:szCs w:val="24"/>
        </w:rPr>
        <w:t xml:space="preserve"> have interrogated these traditions in their questioning of language as a basis of knowledge.  Derrida coined the term “deconstruction” to describe literary and visual acts that invert and confuse conventional language systems.  Deconstruction bears implications well beyond the scope of this paper, but the elements most relevant to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are pervasive fragmenting and quoting ironically, taking quotes in and out of context, and, in these acts, critiquing convention and systems of knowledge.  In relation, deconstruction as a practice also involves Roland Barthes’ theories surrounding the death or demystification of the notion of a self-contained, original, independent author/speaker.  Deconstructive tendencies arise in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assemblages of fragmented and </w:t>
      </w:r>
      <w:proofErr w:type="spellStart"/>
      <w:r w:rsidRPr="00056317">
        <w:rPr>
          <w:rFonts w:ascii="Times New Roman" w:hAnsi="Times New Roman"/>
          <w:sz w:val="24"/>
          <w:szCs w:val="24"/>
        </w:rPr>
        <w:t>decontextualized</w:t>
      </w:r>
      <w:proofErr w:type="spellEnd"/>
      <w:r w:rsidRPr="00056317">
        <w:rPr>
          <w:rFonts w:ascii="Times New Roman" w:hAnsi="Times New Roman"/>
          <w:sz w:val="24"/>
          <w:szCs w:val="24"/>
        </w:rPr>
        <w:t xml:space="preserve"> quotes, whose anonymity further suggests a gesture toward the irrelevance of the specific speaker or author in favor of foregrounding the perceptions of the viewer/reader.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showcases how communication and memory are illogical – nonlinear, random, and incomplete.</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is well-versed in these theoretical practices.  His book, </w:t>
      </w:r>
      <w:proofErr w:type="spellStart"/>
      <w:r w:rsidRPr="00056317">
        <w:rPr>
          <w:rFonts w:ascii="Times New Roman" w:hAnsi="Times New Roman"/>
          <w:i/>
          <w:sz w:val="24"/>
          <w:szCs w:val="24"/>
        </w:rPr>
        <w:t>Textalterity</w:t>
      </w:r>
      <w:proofErr w:type="spellEnd"/>
      <w:r w:rsidRPr="00056317">
        <w:rPr>
          <w:rFonts w:ascii="Times New Roman" w:hAnsi="Times New Roman"/>
          <w:i/>
          <w:sz w:val="24"/>
          <w:szCs w:val="24"/>
        </w:rPr>
        <w:t>: Art, Theory and Textual Criticism</w:t>
      </w:r>
      <w:r w:rsidRPr="00056317">
        <w:rPr>
          <w:rFonts w:ascii="Times New Roman" w:hAnsi="Times New Roman"/>
          <w:sz w:val="24"/>
          <w:szCs w:val="24"/>
        </w:rPr>
        <w:t xml:space="preserve"> (1995), asserts the significant changes in meaning and connotation of texts (both visual and literary) over time.  He argues that new contexts inform and transform historical texts’ signification and how the viewer/reader makes meaning of history itself.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writes: “As a consequence, </w:t>
      </w:r>
      <w:proofErr w:type="spellStart"/>
      <w:r w:rsidRPr="00056317">
        <w:rPr>
          <w:rFonts w:ascii="Times New Roman" w:hAnsi="Times New Roman"/>
          <w:sz w:val="24"/>
          <w:szCs w:val="24"/>
        </w:rPr>
        <w:t>textalterity</w:t>
      </w:r>
      <w:proofErr w:type="spellEnd"/>
      <w:r w:rsidRPr="00056317">
        <w:rPr>
          <w:rFonts w:ascii="Times New Roman" w:hAnsi="Times New Roman"/>
          <w:sz w:val="24"/>
          <w:szCs w:val="24"/>
        </w:rPr>
        <w:t xml:space="preserve"> is less related to the medium of a work than to the ways or processes in which the work is disseminated” (p. 53).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asserts that the ultimate significances of texts and viewer/reader’s perceptions of them is always codependent on the texts’ mediation over time and in and out of contexts.  For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all texts are </w:t>
      </w:r>
      <w:proofErr w:type="spellStart"/>
      <w:r w:rsidRPr="00056317">
        <w:rPr>
          <w:rFonts w:ascii="Times New Roman" w:hAnsi="Times New Roman"/>
          <w:sz w:val="24"/>
          <w:szCs w:val="24"/>
        </w:rPr>
        <w:t>multicontextual</w:t>
      </w:r>
      <w:proofErr w:type="spellEnd"/>
      <w:r w:rsidRPr="00056317">
        <w:rPr>
          <w:rFonts w:ascii="Times New Roman" w:hAnsi="Times New Roman"/>
          <w:sz w:val="24"/>
          <w:szCs w:val="24"/>
        </w:rPr>
        <w:t xml:space="preserve"> and accumulate fragmented meanings.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Themes of deconstruction and accumulation materialize in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artworks.  In wall hangings such as </w:t>
      </w:r>
      <w:r w:rsidRPr="00056317">
        <w:rPr>
          <w:rFonts w:ascii="Times New Roman" w:hAnsi="Times New Roman"/>
          <w:i/>
          <w:sz w:val="24"/>
          <w:szCs w:val="24"/>
        </w:rPr>
        <w:t>Multiples</w:t>
      </w:r>
      <w:r w:rsidRPr="00056317">
        <w:rPr>
          <w:rFonts w:ascii="Times New Roman" w:hAnsi="Times New Roman"/>
          <w:sz w:val="24"/>
          <w:szCs w:val="24"/>
        </w:rPr>
        <w:t xml:space="preserve"> (2000) (</w:t>
      </w:r>
      <w:hyperlink w:anchor="MillettFig2" w:history="1">
        <w:r w:rsidRPr="00056317">
          <w:rPr>
            <w:rStyle w:val="Hyperlink"/>
            <w:rFonts w:ascii="Times New Roman" w:hAnsi="Times New Roman"/>
            <w:color w:val="auto"/>
            <w:sz w:val="24"/>
            <w:szCs w:val="24"/>
          </w:rPr>
          <w:t>fig. 2</w:t>
        </w:r>
      </w:hyperlink>
      <w:r w:rsidRPr="00056317">
        <w:rPr>
          <w:rFonts w:ascii="Times New Roman" w:hAnsi="Times New Roman"/>
          <w:sz w:val="24"/>
          <w:szCs w:val="24"/>
        </w:rPr>
        <w:t xml:space="preserve">) and </w:t>
      </w:r>
      <w:r w:rsidRPr="00056317">
        <w:rPr>
          <w:rFonts w:ascii="Times New Roman" w:hAnsi="Times New Roman"/>
          <w:i/>
          <w:sz w:val="24"/>
          <w:szCs w:val="24"/>
        </w:rPr>
        <w:t xml:space="preserve">223 Conversations </w:t>
      </w:r>
      <w:r w:rsidRPr="00056317">
        <w:rPr>
          <w:rFonts w:ascii="Times New Roman" w:hAnsi="Times New Roman"/>
          <w:sz w:val="24"/>
          <w:szCs w:val="24"/>
        </w:rPr>
        <w:t>(2005) (</w:t>
      </w:r>
      <w:hyperlink w:anchor="MillettFig3" w:history="1">
        <w:r w:rsidRPr="00056317">
          <w:rPr>
            <w:rStyle w:val="Hyperlink"/>
            <w:rFonts w:ascii="Times New Roman" w:hAnsi="Times New Roman"/>
            <w:color w:val="auto"/>
            <w:sz w:val="24"/>
            <w:szCs w:val="24"/>
          </w:rPr>
          <w:t>fig. 3</w:t>
        </w:r>
      </w:hyperlink>
      <w:r w:rsidRPr="00056317">
        <w:rPr>
          <w:rFonts w:ascii="Times New Roman" w:hAnsi="Times New Roman"/>
          <w:sz w:val="24"/>
          <w:szCs w:val="24"/>
        </w:rPr>
        <w:t xml:space="preserv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assembles notes written to him in a variety of situations and on a variety of media.  These works display doodles, scribbles, cartoons, and nonlinear fragments recorded on materials that are themselves taken out of context: notebook paper, post-it notes, postcards, stationary, envelopes, menus, napkins, pieces of tablecloths, matchbook covers, gallery programs and brochures, </w:t>
      </w:r>
      <w:r w:rsidRPr="00056317">
        <w:rPr>
          <w:rFonts w:ascii="Times New Roman" w:hAnsi="Times New Roman"/>
          <w:sz w:val="24"/>
          <w:szCs w:val="24"/>
        </w:rPr>
        <w:lastRenderedPageBreak/>
        <w:t xml:space="preserve">foreign bills, claim-check stubs, registration cards, recipe cards, and pages from magazines and catalogs.  The media or fabric of these works crosses genres of high and low art while crossing public and private social settings.  The collection of these fragments into the shape of a traditional painting or mural presents the false illusion of integration.  In </w:t>
      </w:r>
      <w:r w:rsidRPr="00056317">
        <w:rPr>
          <w:rFonts w:ascii="Times New Roman" w:hAnsi="Times New Roman"/>
          <w:i/>
          <w:sz w:val="24"/>
          <w:szCs w:val="24"/>
        </w:rPr>
        <w:t>Multiples</w:t>
      </w:r>
      <w:r w:rsidRPr="00056317">
        <w:rPr>
          <w:rFonts w:ascii="Times New Roman" w:hAnsi="Times New Roman"/>
          <w:sz w:val="24"/>
          <w:szCs w:val="24"/>
        </w:rPr>
        <w:t xml:space="preserve">, different sized, but all straight-edged index cards, sheets of colored paper, scraps from small note </w:t>
      </w:r>
      <w:proofErr w:type="gramStart"/>
      <w:r w:rsidRPr="00056317">
        <w:rPr>
          <w:rFonts w:ascii="Times New Roman" w:hAnsi="Times New Roman"/>
          <w:sz w:val="24"/>
          <w:szCs w:val="24"/>
        </w:rPr>
        <w:t>pads,</w:t>
      </w:r>
      <w:proofErr w:type="gramEnd"/>
      <w:r w:rsidRPr="00056317">
        <w:rPr>
          <w:rFonts w:ascii="Times New Roman" w:hAnsi="Times New Roman"/>
          <w:sz w:val="24"/>
          <w:szCs w:val="24"/>
        </w:rPr>
        <w:t xml:space="preserve"> and the back of an envelope, all in various shades of blue, are evenly spaced and assembled in a perfect square.  From a distance the work resembles a </w:t>
      </w:r>
      <w:proofErr w:type="spellStart"/>
      <w:r w:rsidRPr="00056317">
        <w:rPr>
          <w:rFonts w:ascii="Times New Roman" w:hAnsi="Times New Roman"/>
          <w:sz w:val="24"/>
          <w:szCs w:val="24"/>
        </w:rPr>
        <w:t>colorfield</w:t>
      </w:r>
      <w:proofErr w:type="spellEnd"/>
      <w:r w:rsidRPr="00056317">
        <w:rPr>
          <w:rFonts w:ascii="Times New Roman" w:hAnsi="Times New Roman"/>
          <w:sz w:val="24"/>
          <w:szCs w:val="24"/>
        </w:rPr>
        <w:t xml:space="preserve"> painting by Mark Rothko or an example of Yves Klein’s canvases saturated with his trademark blue.  In </w:t>
      </w:r>
      <w:r w:rsidRPr="00056317">
        <w:rPr>
          <w:rFonts w:ascii="Times New Roman" w:hAnsi="Times New Roman"/>
          <w:i/>
          <w:sz w:val="24"/>
          <w:szCs w:val="24"/>
        </w:rPr>
        <w:t>223 Conversations</w:t>
      </w:r>
      <w:r w:rsidRPr="00056317">
        <w:rPr>
          <w:rFonts w:ascii="Times New Roman" w:hAnsi="Times New Roman"/>
          <w:sz w:val="24"/>
          <w:szCs w:val="24"/>
        </w:rPr>
        <w:t xml:space="preserve">, different colors and sizes from a variety of transcribed materials are arranged in rectangular mural; from a distance it looks like an abstract painting, in a geometric pattern that traditionally in art history contains no tangible subject matter. However, the work is composed of communication.  As one gets closer to translate the texts on the individual pieces of </w:t>
      </w:r>
      <w:r w:rsidRPr="00056317">
        <w:rPr>
          <w:rFonts w:ascii="Times New Roman" w:hAnsi="Times New Roman"/>
          <w:i/>
          <w:sz w:val="24"/>
          <w:szCs w:val="24"/>
        </w:rPr>
        <w:t>Multiples</w:t>
      </w:r>
      <w:r w:rsidRPr="00056317">
        <w:rPr>
          <w:rFonts w:ascii="Times New Roman" w:hAnsi="Times New Roman"/>
          <w:sz w:val="24"/>
          <w:szCs w:val="24"/>
        </w:rPr>
        <w:t xml:space="preserve">, written in all directions, one encounters: “She scored some VIKADIN [sic] (pain reliever) mixed w/liquor = </w:t>
      </w:r>
      <w:proofErr w:type="spellStart"/>
      <w:r w:rsidRPr="00056317">
        <w:rPr>
          <w:rFonts w:ascii="Times New Roman" w:hAnsi="Times New Roman"/>
          <w:sz w:val="24"/>
          <w:szCs w:val="24"/>
        </w:rPr>
        <w:t>superfun</w:t>
      </w:r>
      <w:proofErr w:type="spellEnd"/>
      <w:r w:rsidRPr="00056317">
        <w:rPr>
          <w:rFonts w:ascii="Times New Roman" w:hAnsi="Times New Roman"/>
          <w:sz w:val="24"/>
          <w:szCs w:val="24"/>
        </w:rPr>
        <w:t xml:space="preserve">”; “sex kitten”; “Olivier very good friend”; “that’s not what I’m </w:t>
      </w:r>
      <w:proofErr w:type="spellStart"/>
      <w:r w:rsidRPr="00056317">
        <w:rPr>
          <w:rFonts w:ascii="Times New Roman" w:hAnsi="Times New Roman"/>
          <w:sz w:val="24"/>
          <w:szCs w:val="24"/>
        </w:rPr>
        <w:t>taking</w:t>
      </w:r>
      <w:proofErr w:type="spellEnd"/>
      <w:r w:rsidRPr="00056317">
        <w:rPr>
          <w:rFonts w:ascii="Times New Roman" w:hAnsi="Times New Roman"/>
          <w:sz w:val="24"/>
          <w:szCs w:val="24"/>
        </w:rPr>
        <w:t xml:space="preserve"> about”; a sketch of a cartoon dog about to be hit by a flying newspaper and staring down at a gun; and “What?  Not in a bar!  I thought you said Ass.”    These curious and humorous sound bites implicate the viewer in eavesdropping and escape explanation.  The works depict visually the vivid color of conversations in a chorus of dissonant voices.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Davidson (2002) has described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as the perception of communication when “encountered through a deaf optic,” choosing a strategically ironic concept that underscores the multisensory and multilingual experience of communication for deaf people through fragmented acoustics, lip reading, body language (sign, gesture, and expression), and contextual clues.  With these disjointed puzzles,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recreates for the viewer his own embodied experience of interpreting “conversations with the hearing” while suggesting that the nature of all communication is puzzling.</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deconstructs communication, particularly in the creative media of literature, art, and music, as purely oral OR visual.  Like his methodology in </w:t>
      </w:r>
      <w:proofErr w:type="spellStart"/>
      <w:r w:rsidRPr="00056317">
        <w:rPr>
          <w:rFonts w:ascii="Times New Roman" w:hAnsi="Times New Roman"/>
          <w:i/>
          <w:sz w:val="24"/>
          <w:szCs w:val="24"/>
        </w:rPr>
        <w:t>Textalterity</w:t>
      </w:r>
      <w:proofErr w:type="spellEnd"/>
      <w:r w:rsidRPr="00056317">
        <w:rPr>
          <w:rFonts w:ascii="Times New Roman" w:hAnsi="Times New Roman"/>
          <w:sz w:val="24"/>
          <w:szCs w:val="24"/>
        </w:rPr>
        <w:t xml:space="preserve">,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visual art methods frame images as texts, but specifically ones that are interpretively open for and lost in translations.  In the booklet </w:t>
      </w:r>
      <w:proofErr w:type="spellStart"/>
      <w:r w:rsidRPr="00056317">
        <w:rPr>
          <w:rFonts w:ascii="Times New Roman" w:hAnsi="Times New Roman"/>
          <w:i/>
          <w:sz w:val="24"/>
          <w:szCs w:val="24"/>
        </w:rPr>
        <w:t>Vox</w:t>
      </w:r>
      <w:proofErr w:type="spellEnd"/>
      <w:r w:rsidRPr="00056317">
        <w:rPr>
          <w:rFonts w:ascii="Times New Roman" w:hAnsi="Times New Roman"/>
          <w:i/>
          <w:sz w:val="24"/>
          <w:szCs w:val="24"/>
        </w:rPr>
        <w:t xml:space="preserve"> </w:t>
      </w:r>
      <w:proofErr w:type="spellStart"/>
      <w:r w:rsidRPr="00056317">
        <w:rPr>
          <w:rFonts w:ascii="Times New Roman" w:hAnsi="Times New Roman"/>
          <w:i/>
          <w:sz w:val="24"/>
          <w:szCs w:val="24"/>
        </w:rPr>
        <w:t>Populi</w:t>
      </w:r>
      <w:proofErr w:type="spellEnd"/>
      <w:r w:rsidRPr="00056317">
        <w:rPr>
          <w:rFonts w:ascii="Times New Roman" w:hAnsi="Times New Roman"/>
          <w:sz w:val="24"/>
          <w:szCs w:val="24"/>
        </w:rPr>
        <w:t xml:space="preserve"> (2003) (</w:t>
      </w:r>
      <w:hyperlink w:anchor="MillettFig4" w:history="1">
        <w:r w:rsidRPr="00056317">
          <w:rPr>
            <w:rStyle w:val="Hyperlink"/>
            <w:rFonts w:ascii="Times New Roman" w:hAnsi="Times New Roman"/>
            <w:color w:val="auto"/>
            <w:sz w:val="24"/>
            <w:szCs w:val="24"/>
          </w:rPr>
          <w:t>fig. 4</w:t>
        </w:r>
      </w:hyperlink>
      <w:r w:rsidRPr="00056317">
        <w:rPr>
          <w:rFonts w:ascii="Times New Roman" w:hAnsi="Times New Roman"/>
          <w:sz w:val="24"/>
          <w:szCs w:val="24"/>
        </w:rPr>
        <w:t xml:space="preserv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reproduces works by the famous 17</w:t>
      </w:r>
      <w:r w:rsidRPr="00056317">
        <w:rPr>
          <w:rFonts w:ascii="Times New Roman" w:hAnsi="Times New Roman"/>
          <w:sz w:val="24"/>
          <w:szCs w:val="24"/>
          <w:vertAlign w:val="superscript"/>
        </w:rPr>
        <w:t>th</w:t>
      </w:r>
      <w:r w:rsidRPr="00056317">
        <w:rPr>
          <w:rFonts w:ascii="Times New Roman" w:hAnsi="Times New Roman"/>
          <w:sz w:val="24"/>
          <w:szCs w:val="24"/>
        </w:rPr>
        <w:t xml:space="preserve"> century painter of Italian cityscapes, Canaletto, literally turning art into a text.  A life-size fiberglass sculpture of a dog drawn from one of Canaletto’s works, titled </w:t>
      </w:r>
      <w:r w:rsidRPr="00056317">
        <w:rPr>
          <w:rStyle w:val="txtnoir"/>
          <w:rFonts w:ascii="Times New Roman" w:hAnsi="Times New Roman"/>
          <w:i/>
          <w:iCs/>
          <w:sz w:val="24"/>
          <w:szCs w:val="24"/>
        </w:rPr>
        <w:t xml:space="preserve">Dog from Canaletto’s Riva </w:t>
      </w:r>
      <w:proofErr w:type="spellStart"/>
      <w:r w:rsidRPr="00056317">
        <w:rPr>
          <w:rStyle w:val="txtnoir"/>
          <w:rFonts w:ascii="Times New Roman" w:hAnsi="Times New Roman"/>
          <w:i/>
          <w:iCs/>
          <w:sz w:val="24"/>
          <w:szCs w:val="24"/>
        </w:rPr>
        <w:t>Degli</w:t>
      </w:r>
      <w:proofErr w:type="spellEnd"/>
      <w:r w:rsidRPr="00056317">
        <w:rPr>
          <w:rStyle w:val="txtnoir"/>
          <w:rFonts w:ascii="Times New Roman" w:hAnsi="Times New Roman"/>
          <w:i/>
          <w:iCs/>
          <w:sz w:val="24"/>
          <w:szCs w:val="24"/>
        </w:rPr>
        <w:t xml:space="preserve"> </w:t>
      </w:r>
      <w:proofErr w:type="spellStart"/>
      <w:r w:rsidRPr="00056317">
        <w:rPr>
          <w:rStyle w:val="txtnoir"/>
          <w:rFonts w:ascii="Times New Roman" w:hAnsi="Times New Roman"/>
          <w:i/>
          <w:iCs/>
          <w:sz w:val="24"/>
          <w:szCs w:val="24"/>
        </w:rPr>
        <w:t>Schiavoni</w:t>
      </w:r>
      <w:proofErr w:type="spellEnd"/>
      <w:r w:rsidRPr="00056317">
        <w:rPr>
          <w:rStyle w:val="txtnoir"/>
          <w:rFonts w:ascii="Times New Roman" w:hAnsi="Times New Roman"/>
          <w:sz w:val="24"/>
          <w:szCs w:val="24"/>
        </w:rPr>
        <w:t xml:space="preserve"> </w:t>
      </w:r>
      <w:r w:rsidRPr="00056317">
        <w:rPr>
          <w:rFonts w:ascii="Times New Roman" w:hAnsi="Times New Roman"/>
          <w:sz w:val="24"/>
          <w:szCs w:val="24"/>
        </w:rPr>
        <w:t>(2003) (</w:t>
      </w:r>
      <w:hyperlink w:anchor="MillettFig5" w:history="1">
        <w:r w:rsidRPr="00056317">
          <w:rPr>
            <w:rStyle w:val="Hyperlink"/>
            <w:rFonts w:ascii="Times New Roman" w:hAnsi="Times New Roman"/>
            <w:color w:val="auto"/>
            <w:sz w:val="24"/>
            <w:szCs w:val="24"/>
          </w:rPr>
          <w:t>fig. 5</w:t>
        </w:r>
      </w:hyperlink>
      <w:r w:rsidRPr="00056317">
        <w:rPr>
          <w:rFonts w:ascii="Times New Roman" w:hAnsi="Times New Roman"/>
          <w:sz w:val="24"/>
          <w:szCs w:val="24"/>
        </w:rPr>
        <w:t>), stands in for a viewer posed outside the frame and external to the conversations inside the paintings.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Art critic Frank Nicholas (2004) has likened this pairing of the dog with the paintings to the relationship of any beings that speak different tongues and communicate through combinations of gestures and sounds.  Canaletto’s paintings were popular among tourists to 18</w:t>
      </w:r>
      <w:r w:rsidRPr="00056317">
        <w:rPr>
          <w:rFonts w:ascii="Times New Roman" w:hAnsi="Times New Roman"/>
          <w:sz w:val="24"/>
          <w:szCs w:val="24"/>
          <w:vertAlign w:val="superscript"/>
        </w:rPr>
        <w:t>th</w:t>
      </w:r>
      <w:r w:rsidRPr="00056317">
        <w:rPr>
          <w:rFonts w:ascii="Times New Roman" w:hAnsi="Times New Roman"/>
          <w:sz w:val="24"/>
          <w:szCs w:val="24"/>
        </w:rPr>
        <w:t>-century Italy and served as souvenirs and fragmented memories of travel.  In art history, conversation pieces are paintings of people engaged in socializing and leisure.  They are traditionally silent, yet portray conversation and exchange through gestures and body language, similar to sign language (</w:t>
      </w:r>
      <w:proofErr w:type="spellStart"/>
      <w:r w:rsidRPr="00056317">
        <w:rPr>
          <w:rFonts w:ascii="Times New Roman" w:hAnsi="Times New Roman"/>
          <w:sz w:val="24"/>
          <w:szCs w:val="24"/>
        </w:rPr>
        <w:t>Mirzoeff</w:t>
      </w:r>
      <w:proofErr w:type="spellEnd"/>
      <w:r w:rsidRPr="00056317">
        <w:rPr>
          <w:rFonts w:ascii="Times New Roman" w:hAnsi="Times New Roman"/>
          <w:sz w:val="24"/>
          <w:szCs w:val="24"/>
        </w:rPr>
        <w:t xml:space="preserve">, 1995).  Painting, sculpture, photography, and a range of artworks communicate through visual and textual cues, and in this sense most art is </w:t>
      </w:r>
      <w:proofErr w:type="spellStart"/>
      <w:r w:rsidRPr="00056317">
        <w:rPr>
          <w:rFonts w:ascii="Times New Roman" w:hAnsi="Times New Roman"/>
          <w:sz w:val="24"/>
          <w:szCs w:val="24"/>
        </w:rPr>
        <w:t>nonoral</w:t>
      </w:r>
      <w:proofErr w:type="spellEnd"/>
      <w:r w:rsidRPr="00056317">
        <w:rPr>
          <w:rFonts w:ascii="Times New Roman" w:hAnsi="Times New Roman"/>
          <w:sz w:val="24"/>
          <w:szCs w:val="24"/>
        </w:rPr>
        <w:t xml:space="preserve"> in its communicative modes.  Art historian Nicholas </w:t>
      </w:r>
      <w:proofErr w:type="spellStart"/>
      <w:r w:rsidRPr="00056317">
        <w:rPr>
          <w:rFonts w:ascii="Times New Roman" w:hAnsi="Times New Roman"/>
          <w:sz w:val="24"/>
          <w:szCs w:val="24"/>
        </w:rPr>
        <w:t>Mirzoeff</w:t>
      </w:r>
      <w:proofErr w:type="spellEnd"/>
      <w:r w:rsidRPr="00056317">
        <w:rPr>
          <w:rFonts w:ascii="Times New Roman" w:hAnsi="Times New Roman"/>
          <w:sz w:val="24"/>
          <w:szCs w:val="24"/>
        </w:rPr>
        <w:t xml:space="preserve"> underscores how all artwork, with its multiple forms of communication, is always dynamic, gestural, and open to interpretation and </w:t>
      </w:r>
      <w:r w:rsidRPr="00056317">
        <w:rPr>
          <w:rFonts w:ascii="Times New Roman" w:hAnsi="Times New Roman"/>
          <w:sz w:val="24"/>
          <w:szCs w:val="24"/>
        </w:rPr>
        <w:lastRenderedPageBreak/>
        <w:t xml:space="preserve">individual perception.  In these ways, </w:t>
      </w:r>
      <w:proofErr w:type="spellStart"/>
      <w:r w:rsidRPr="00056317">
        <w:rPr>
          <w:rFonts w:ascii="Times New Roman" w:hAnsi="Times New Roman"/>
          <w:sz w:val="24"/>
          <w:szCs w:val="24"/>
        </w:rPr>
        <w:t>Mirzoeff</w:t>
      </w:r>
      <w:proofErr w:type="spellEnd"/>
      <w:r w:rsidRPr="00056317">
        <w:rPr>
          <w:rFonts w:ascii="Times New Roman" w:hAnsi="Times New Roman"/>
          <w:sz w:val="24"/>
          <w:szCs w:val="24"/>
        </w:rPr>
        <w:t xml:space="preserve"> compares art with performing sign language and with deafness itself.  The means by which visual art mediates its content, context, and expression is always fragmentary, multi-sensual, </w:t>
      </w:r>
      <w:proofErr w:type="spellStart"/>
      <w:r w:rsidRPr="00056317">
        <w:rPr>
          <w:rFonts w:ascii="Times New Roman" w:hAnsi="Times New Roman"/>
          <w:sz w:val="24"/>
          <w:szCs w:val="24"/>
        </w:rPr>
        <w:t>performative</w:t>
      </w:r>
      <w:proofErr w:type="spellEnd"/>
      <w:r w:rsidRPr="00056317">
        <w:rPr>
          <w:rFonts w:ascii="Times New Roman" w:hAnsi="Times New Roman"/>
          <w:sz w:val="24"/>
          <w:szCs w:val="24"/>
        </w:rPr>
        <w:t xml:space="preserve">, and subject to endless misunderstandings, as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art makes vivid.  His subject matter is the nature of mediation.</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contextualSpacing/>
        <w:rPr>
          <w:rFonts w:ascii="Times New Roman" w:hAnsi="Times New Roman"/>
          <w:sz w:val="24"/>
          <w:szCs w:val="24"/>
        </w:rPr>
      </w:pPr>
      <w:r w:rsidRPr="00056317">
        <w:rPr>
          <w:rFonts w:ascii="Times New Roman" w:hAnsi="Times New Roman"/>
          <w:b/>
          <w:sz w:val="24"/>
          <w:szCs w:val="24"/>
        </w:rPr>
        <w:tab/>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modes of mediation are most musically analogous to electronic sampling.  Music historian Mark Katz (2004) explains that digital sampling is a type of computer synthesis in which sound is rendered into notated data.  Katz writes: “On the simplest level sampling works like a jigsaw puzzle: a sound is cut up into pieces and then put back together to form a digitized ‘picture’ of that sound” (p. 138).  Katz’s description of musical sampling resembles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method of making sound visual and “puzzling.”  Parallel to musical sampling,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quotes, fragments, </w:t>
      </w:r>
      <w:proofErr w:type="spellStart"/>
      <w:r w:rsidRPr="00056317">
        <w:rPr>
          <w:rFonts w:ascii="Times New Roman" w:hAnsi="Times New Roman"/>
          <w:sz w:val="24"/>
          <w:szCs w:val="24"/>
        </w:rPr>
        <w:t>recontextualizes</w:t>
      </w:r>
      <w:proofErr w:type="spellEnd"/>
      <w:r w:rsidRPr="00056317">
        <w:rPr>
          <w:rFonts w:ascii="Times New Roman" w:hAnsi="Times New Roman"/>
          <w:sz w:val="24"/>
          <w:szCs w:val="24"/>
        </w:rPr>
        <w:t xml:space="preserve">, and mediates sound into a unique arrangement.  A remixed musical piece, according to Katz, composes representations of original sounds, on which infinite manipulations to tempo, pitch, reverberation, and frequency are performed.  These sounds can be “reversed, cut, looped, and layered” (p. 139).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makes this process visual in his </w:t>
      </w:r>
      <w:r w:rsidRPr="00056317">
        <w:rPr>
          <w:rFonts w:ascii="Times New Roman" w:hAnsi="Times New Roman"/>
          <w:i/>
          <w:sz w:val="24"/>
          <w:szCs w:val="24"/>
        </w:rPr>
        <w:t>Conversations</w:t>
      </w:r>
      <w:r w:rsidRPr="00056317">
        <w:rPr>
          <w:rFonts w:ascii="Times New Roman" w:hAnsi="Times New Roman"/>
          <w:sz w:val="24"/>
          <w:szCs w:val="24"/>
        </w:rPr>
        <w:t xml:space="preserve"> installations, as the colors of the materials written on, variations of writing style, scribbling and doodling, and the juxtapositions of the comments change the tone, pulse, and flavor of the individual quotes.</w:t>
      </w:r>
    </w:p>
    <w:p w:rsidR="00056317" w:rsidRPr="00056317" w:rsidRDefault="00056317" w:rsidP="00056317">
      <w:pPr>
        <w:pStyle w:val="NoSpacing"/>
        <w:contextualSpacing/>
        <w:rPr>
          <w:rFonts w:ascii="Times New Roman" w:hAnsi="Times New Roman"/>
          <w:sz w:val="24"/>
          <w:szCs w:val="24"/>
        </w:rPr>
      </w:pPr>
    </w:p>
    <w:p w:rsidR="00056317" w:rsidRPr="00056317" w:rsidRDefault="00056317" w:rsidP="00056317">
      <w:pPr>
        <w:pStyle w:val="NoSpacing"/>
        <w:contextualSpacing/>
        <w:rPr>
          <w:rFonts w:ascii="Times New Roman" w:hAnsi="Times New Roman"/>
          <w:sz w:val="24"/>
          <w:szCs w:val="24"/>
        </w:rPr>
      </w:pPr>
      <w:r w:rsidRPr="00056317">
        <w:rPr>
          <w:rFonts w:ascii="Times New Roman" w:hAnsi="Times New Roman"/>
          <w:sz w:val="24"/>
          <w:szCs w:val="24"/>
        </w:rPr>
        <w:tab/>
        <w:t xml:space="preserve">Many of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scholarly articles also employ sampling methods.  In 1986, he produced a series of 32 postcards to the artist Sophie </w:t>
      </w:r>
      <w:proofErr w:type="spellStart"/>
      <w:r w:rsidRPr="00056317">
        <w:rPr>
          <w:rFonts w:ascii="Times New Roman" w:hAnsi="Times New Roman"/>
          <w:sz w:val="24"/>
          <w:szCs w:val="24"/>
        </w:rPr>
        <w:t>Calle</w:t>
      </w:r>
      <w:proofErr w:type="spellEnd"/>
      <w:r w:rsidRPr="00056317">
        <w:rPr>
          <w:rFonts w:ascii="Times New Roman" w:hAnsi="Times New Roman"/>
          <w:sz w:val="24"/>
          <w:szCs w:val="24"/>
        </w:rPr>
        <w:t xml:space="preserve"> in response to her exhibition, “The Blind,” in which she photographed a series of blind people, asked them to describe their notion of beauty, and recreated what she interpreted from their responses in a photograph.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found the exhibit problematic in its exploitation of blindness as a metaphor and because of </w:t>
      </w:r>
      <w:proofErr w:type="spellStart"/>
      <w:r w:rsidRPr="00056317">
        <w:rPr>
          <w:rFonts w:ascii="Times New Roman" w:hAnsi="Times New Roman"/>
          <w:sz w:val="24"/>
          <w:szCs w:val="24"/>
        </w:rPr>
        <w:t>Calle’s</w:t>
      </w:r>
      <w:proofErr w:type="spellEnd"/>
      <w:r w:rsidRPr="00056317">
        <w:rPr>
          <w:rFonts w:ascii="Times New Roman" w:hAnsi="Times New Roman"/>
          <w:sz w:val="24"/>
          <w:szCs w:val="24"/>
        </w:rPr>
        <w:t xml:space="preserve"> ethnocentric mediation of what the subjects “saw” as beauty.  On these postcards, he sampled the conventional discourses of disability represented in </w:t>
      </w:r>
      <w:proofErr w:type="spellStart"/>
      <w:r w:rsidRPr="00056317">
        <w:rPr>
          <w:rFonts w:ascii="Times New Roman" w:hAnsi="Times New Roman"/>
          <w:sz w:val="24"/>
          <w:szCs w:val="24"/>
        </w:rPr>
        <w:t>Calle’s</w:t>
      </w:r>
      <w:proofErr w:type="spellEnd"/>
      <w:r w:rsidRPr="00056317">
        <w:rPr>
          <w:rFonts w:ascii="Times New Roman" w:hAnsi="Times New Roman"/>
          <w:sz w:val="24"/>
          <w:szCs w:val="24"/>
        </w:rPr>
        <w:t xml:space="preserve"> (in his opinion) </w:t>
      </w:r>
      <w:proofErr w:type="spellStart"/>
      <w:r w:rsidRPr="00056317">
        <w:rPr>
          <w:rFonts w:ascii="Times New Roman" w:hAnsi="Times New Roman"/>
          <w:sz w:val="24"/>
          <w:szCs w:val="24"/>
        </w:rPr>
        <w:t>ableist</w:t>
      </w:r>
      <w:proofErr w:type="spellEnd"/>
      <w:r w:rsidRPr="00056317">
        <w:rPr>
          <w:rFonts w:ascii="Times New Roman" w:hAnsi="Times New Roman"/>
          <w:sz w:val="24"/>
          <w:szCs w:val="24"/>
        </w:rPr>
        <w:t xml:space="preserve"> work.  He also included his own embodied experiences as a deaf person perceiving the work.  The content of these postcards was assembled in an essay that serves as art and disability commentary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2000).</w:t>
      </w:r>
    </w:p>
    <w:p w:rsidR="00056317" w:rsidRPr="00056317" w:rsidRDefault="00056317" w:rsidP="00056317">
      <w:pPr>
        <w:pStyle w:val="NoSpacing"/>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A more recent essay by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“Blindness and Deafness as Metaphors: An Anthological Essay” (2006), follows in this vein, as he assembles a series of quotes from a variety of writers who engage problematic metaphors of blindness and deafness.  Among the analogies in these clips, blindness and deafness symbolize ignorance and acts of ignoring the “truth.”  This random sampling demonstrates the repetition and pervasive dissemination of these derogatory metaphors in culture, in sources ranging from popular media to postmodern art to critical race theory.  The varying sources are samples and arranged to create a larger narrative of cultural </w:t>
      </w:r>
      <w:proofErr w:type="spellStart"/>
      <w:r w:rsidRPr="00056317">
        <w:rPr>
          <w:rFonts w:ascii="Times New Roman" w:hAnsi="Times New Roman"/>
          <w:sz w:val="24"/>
          <w:szCs w:val="24"/>
        </w:rPr>
        <w:t>ableism</w:t>
      </w:r>
      <w:proofErr w:type="spellEnd"/>
      <w:r w:rsidRPr="00056317">
        <w:rPr>
          <w:rFonts w:ascii="Times New Roman" w:hAnsi="Times New Roman"/>
          <w:sz w:val="24"/>
          <w:szCs w:val="24"/>
        </w:rPr>
        <w:t xml:space="preserve">.  Finally,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assembled a similar narrative drawn from historical scholarship on deafness from the Renaissance to the present, which he titled </w:t>
      </w:r>
      <w:r w:rsidRPr="00056317">
        <w:rPr>
          <w:rFonts w:ascii="Times New Roman" w:hAnsi="Times New Roman"/>
          <w:i/>
          <w:sz w:val="24"/>
          <w:szCs w:val="24"/>
        </w:rPr>
        <w:t>Deaf &amp; Dumb: a Tale</w:t>
      </w:r>
      <w:r w:rsidRPr="00056317">
        <w:rPr>
          <w:rFonts w:ascii="Times New Roman" w:hAnsi="Times New Roman"/>
          <w:sz w:val="24"/>
          <w:szCs w:val="24"/>
        </w:rPr>
        <w:t xml:space="preserve"> (1994).  As in his other sampling acts, the original context is indicated, yet fragmented for discursive comparisons.  The materials, which demonstrate that deaf people have been </w:t>
      </w:r>
      <w:proofErr w:type="spellStart"/>
      <w:r w:rsidRPr="00056317">
        <w:rPr>
          <w:rFonts w:ascii="Times New Roman" w:hAnsi="Times New Roman"/>
          <w:sz w:val="24"/>
          <w:szCs w:val="24"/>
        </w:rPr>
        <w:t>medicalized</w:t>
      </w:r>
      <w:proofErr w:type="spellEnd"/>
      <w:r w:rsidRPr="00056317">
        <w:rPr>
          <w:rFonts w:ascii="Times New Roman" w:hAnsi="Times New Roman"/>
          <w:sz w:val="24"/>
          <w:szCs w:val="24"/>
        </w:rPr>
        <w:t xml:space="preserve">, demonized, pitied, infantilized, and </w:t>
      </w:r>
      <w:proofErr w:type="spellStart"/>
      <w:r w:rsidRPr="00056317">
        <w:rPr>
          <w:rFonts w:ascii="Times New Roman" w:hAnsi="Times New Roman"/>
          <w:sz w:val="24"/>
          <w:szCs w:val="24"/>
        </w:rPr>
        <w:t>eugenicized</w:t>
      </w:r>
      <w:proofErr w:type="spellEnd"/>
      <w:r w:rsidRPr="00056317">
        <w:rPr>
          <w:rFonts w:ascii="Times New Roman" w:hAnsi="Times New Roman"/>
          <w:sz w:val="24"/>
          <w:szCs w:val="24"/>
        </w:rPr>
        <w:t xml:space="preserve"> historically, create a metonymic pattern.  The underlying cultural narrative associates deafness again with ignorance and individual failure to “overcome” affliction.</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lastRenderedPageBreak/>
        <w:t xml:space="preserve">In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visual works and in musical sampling, fragments of manipulated sound are drawn into larger rhythmic compositions.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visual sampling compares to Katz’s (2004) example of the composer Paul Lansky.  In </w:t>
      </w:r>
      <w:proofErr w:type="spellStart"/>
      <w:r w:rsidRPr="00056317">
        <w:rPr>
          <w:rFonts w:ascii="Times New Roman" w:hAnsi="Times New Roman"/>
          <w:i/>
          <w:sz w:val="24"/>
          <w:szCs w:val="24"/>
        </w:rPr>
        <w:t>Notjustmoreidlechatter</w:t>
      </w:r>
      <w:proofErr w:type="spellEnd"/>
      <w:r w:rsidRPr="00056317">
        <w:rPr>
          <w:rFonts w:ascii="Times New Roman" w:hAnsi="Times New Roman"/>
          <w:sz w:val="24"/>
          <w:szCs w:val="24"/>
        </w:rPr>
        <w:t>, Lansky digitally manipulates speech into rhythms of musical sound.  In all his prior work, rather than quoting original music Lansky draws on the rich music of everyday life, from conversations to the background “noise” of private and public spaces.  Katz writes: “</w:t>
      </w:r>
      <w:proofErr w:type="spellStart"/>
      <w:r w:rsidRPr="00056317">
        <w:rPr>
          <w:rFonts w:ascii="Times New Roman" w:hAnsi="Times New Roman"/>
          <w:i/>
          <w:sz w:val="24"/>
          <w:szCs w:val="24"/>
        </w:rPr>
        <w:t>Notjustmoreidlechatter</w:t>
      </w:r>
      <w:proofErr w:type="spellEnd"/>
      <w:r w:rsidRPr="00056317">
        <w:rPr>
          <w:rFonts w:ascii="Times New Roman" w:hAnsi="Times New Roman"/>
          <w:sz w:val="24"/>
          <w:szCs w:val="24"/>
        </w:rPr>
        <w:t xml:space="preserve"> wonderfully demonstrates the musical and aesthetic potential of digital technologies. </w:t>
      </w:r>
      <w:proofErr w:type="gramStart"/>
      <w:r w:rsidRPr="00056317">
        <w:rPr>
          <w:rFonts w:ascii="Times New Roman" w:hAnsi="Times New Roman"/>
          <w:sz w:val="24"/>
          <w:szCs w:val="24"/>
        </w:rPr>
        <w:t>Like an alchemist, Lansky transforms the ordinary into the precious, where a spoken word becomes a superhuman chorus” (p. 144).</w:t>
      </w:r>
      <w:proofErr w:type="gramEnd"/>
      <w:r w:rsidRPr="00056317">
        <w:rPr>
          <w:rFonts w:ascii="Times New Roman" w:hAnsi="Times New Roman"/>
          <w:sz w:val="24"/>
          <w:szCs w:val="24"/>
        </w:rPr>
        <w:t xml:space="preserve"> Similarly,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draws multiple voices into a kind of magical, electronically produced chorus.  </w:t>
      </w:r>
      <w:proofErr w:type="gramStart"/>
      <w:r w:rsidRPr="00056317">
        <w:rPr>
          <w:rFonts w:ascii="Times New Roman" w:hAnsi="Times New Roman"/>
          <w:sz w:val="24"/>
          <w:szCs w:val="24"/>
        </w:rPr>
        <w:t xml:space="preserve">In </w:t>
      </w:r>
      <w:r w:rsidRPr="00056317">
        <w:rPr>
          <w:rFonts w:ascii="Times New Roman" w:hAnsi="Times New Roman"/>
          <w:i/>
          <w:sz w:val="24"/>
          <w:szCs w:val="24"/>
        </w:rPr>
        <w:t xml:space="preserve">Blueberry Surprise </w:t>
      </w:r>
      <w:r w:rsidRPr="00056317">
        <w:rPr>
          <w:rFonts w:ascii="Times New Roman" w:hAnsi="Times New Roman"/>
          <w:sz w:val="24"/>
          <w:szCs w:val="24"/>
        </w:rPr>
        <w:t>(2003) (figs.</w:t>
      </w:r>
      <w:proofErr w:type="gramEnd"/>
      <w:r w:rsidRPr="00056317">
        <w:rPr>
          <w:rFonts w:ascii="Times New Roman" w:hAnsi="Times New Roman"/>
          <w:sz w:val="24"/>
          <w:szCs w:val="24"/>
        </w:rPr>
        <w:t xml:space="preserve"> </w:t>
      </w:r>
      <w:hyperlink w:anchor="MillettFig6" w:history="1">
        <w:r w:rsidRPr="00056317">
          <w:rPr>
            <w:rStyle w:val="Hyperlink"/>
            <w:rFonts w:ascii="Times New Roman" w:hAnsi="Times New Roman"/>
            <w:color w:val="auto"/>
            <w:sz w:val="24"/>
            <w:szCs w:val="24"/>
          </w:rPr>
          <w:t>6</w:t>
        </w:r>
      </w:hyperlink>
      <w:r w:rsidRPr="00056317">
        <w:rPr>
          <w:rFonts w:ascii="Times New Roman" w:hAnsi="Times New Roman"/>
          <w:sz w:val="24"/>
          <w:szCs w:val="24"/>
        </w:rPr>
        <w:t xml:space="preserve"> and </w:t>
      </w:r>
      <w:hyperlink w:anchor="MillettFig7" w:history="1">
        <w:r w:rsidRPr="00056317">
          <w:rPr>
            <w:rStyle w:val="Hyperlink"/>
            <w:rFonts w:ascii="Times New Roman" w:hAnsi="Times New Roman"/>
            <w:color w:val="auto"/>
            <w:sz w:val="24"/>
            <w:szCs w:val="24"/>
          </w:rPr>
          <w:t>7</w:t>
        </w:r>
      </w:hyperlink>
      <w:r w:rsidRPr="00056317">
        <w:rPr>
          <w:rFonts w:ascii="Times New Roman" w:hAnsi="Times New Roman"/>
          <w:sz w:val="24"/>
          <w:szCs w:val="24"/>
        </w:rPr>
        <w:t xml:space="preserve">) (displayed alongside </w:t>
      </w:r>
      <w:proofErr w:type="spellStart"/>
      <w:r w:rsidRPr="00056317">
        <w:rPr>
          <w:rFonts w:ascii="Times New Roman" w:hAnsi="Times New Roman"/>
          <w:i/>
          <w:sz w:val="24"/>
          <w:szCs w:val="24"/>
        </w:rPr>
        <w:t>Vox</w:t>
      </w:r>
      <w:proofErr w:type="spellEnd"/>
      <w:r w:rsidRPr="00056317">
        <w:rPr>
          <w:rFonts w:ascii="Times New Roman" w:hAnsi="Times New Roman"/>
          <w:i/>
          <w:sz w:val="24"/>
          <w:szCs w:val="24"/>
        </w:rPr>
        <w:t xml:space="preserve"> </w:t>
      </w:r>
      <w:proofErr w:type="spellStart"/>
      <w:r w:rsidRPr="00056317">
        <w:rPr>
          <w:rFonts w:ascii="Times New Roman" w:hAnsi="Times New Roman"/>
          <w:i/>
          <w:sz w:val="24"/>
          <w:szCs w:val="24"/>
        </w:rPr>
        <w:t>Populi</w:t>
      </w:r>
      <w:proofErr w:type="spellEnd"/>
      <w:r w:rsidRPr="00056317">
        <w:rPr>
          <w:rFonts w:ascii="Times New Roman" w:hAnsi="Times New Roman"/>
          <w:sz w:val="24"/>
          <w:szCs w:val="24"/>
        </w:rPr>
        <w:t xml:space="preserve"> and </w:t>
      </w:r>
      <w:r w:rsidRPr="00056317">
        <w:rPr>
          <w:rFonts w:ascii="Times New Roman" w:hAnsi="Times New Roman"/>
          <w:i/>
          <w:sz w:val="24"/>
          <w:szCs w:val="24"/>
        </w:rPr>
        <w:t xml:space="preserve">The Arch of </w:t>
      </w:r>
      <w:proofErr w:type="spellStart"/>
      <w:r w:rsidRPr="00056317">
        <w:rPr>
          <w:rFonts w:ascii="Times New Roman" w:hAnsi="Times New Roman"/>
          <w:i/>
          <w:sz w:val="24"/>
          <w:szCs w:val="24"/>
        </w:rPr>
        <w:t>Septimus</w:t>
      </w:r>
      <w:proofErr w:type="spellEnd"/>
      <w:r w:rsidRPr="00056317">
        <w:rPr>
          <w:rFonts w:ascii="Times New Roman" w:hAnsi="Times New Roman"/>
          <w:i/>
          <w:sz w:val="24"/>
          <w:szCs w:val="24"/>
        </w:rPr>
        <w:t xml:space="preserve"> Severus</w:t>
      </w:r>
      <w:r w:rsidRPr="00056317">
        <w:rPr>
          <w:rFonts w:ascii="Times New Roman" w:hAnsi="Times New Roman"/>
          <w:sz w:val="24"/>
          <w:szCs w:val="24"/>
        </w:rPr>
        <w:t xml:space="preserv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presents a digital print that loops conversation fragments in alternating red, orange, and black electronic font, relating to how Katz identifies the process of manipulating sound in digital sampling.  Samples of the type read: “Coney Island Cap Ferret Irish people”; “lots chives &amp; parsley lots cheese on top”; “ashtrays, tools.  They sent a robot down.”  The work is composed of notes, literally, and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creates a colorful rhythm of voices and notes with beats of endless chatter and punctuated statements.  Katz describes Lansky’s technique as creating an illusion of clarity, which questions the viewer’s desire to extract clear meaning from the music.  Similarly,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patterns and dissonant melodies ask his viewers to experience sound sensually rather than cerebrally – to stand back and take in the view.</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The puzzling and indecipherable components of Lansky’s and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works are aesthetic and symbolic.  Katz describes the “countless unintelligible voices” in Lansky’s </w:t>
      </w:r>
      <w:proofErr w:type="spellStart"/>
      <w:r w:rsidRPr="00056317">
        <w:rPr>
          <w:rFonts w:ascii="Times New Roman" w:hAnsi="Times New Roman"/>
          <w:i/>
          <w:sz w:val="24"/>
          <w:szCs w:val="24"/>
        </w:rPr>
        <w:t>Notjustmoreidlechatter</w:t>
      </w:r>
      <w:proofErr w:type="spellEnd"/>
      <w:r w:rsidRPr="00056317">
        <w:rPr>
          <w:rFonts w:ascii="Times New Roman" w:hAnsi="Times New Roman"/>
          <w:sz w:val="24"/>
          <w:szCs w:val="24"/>
        </w:rPr>
        <w:t xml:space="preserve"> as “what one might take for the Babel of legend.”  “Babel” signifies a confusion of voices, particularly in singing, as well as a scene of noisy confusion.  Derived from the Hebrew Babylon, the term Babel originates from the Biblical story in which humans attempted to build a tower high enough to reach Heaven.  According to the scripture, God intervened by confusing the languages of the builders so they could not communicate, therefore preventing human access to Heaven and producing the origin of different languages on Earth.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composes such </w:t>
      </w:r>
      <w:proofErr w:type="gramStart"/>
      <w:r w:rsidRPr="00056317">
        <w:rPr>
          <w:rFonts w:ascii="Times New Roman" w:hAnsi="Times New Roman"/>
          <w:sz w:val="24"/>
          <w:szCs w:val="24"/>
        </w:rPr>
        <w:t>a Babel</w:t>
      </w:r>
      <w:proofErr w:type="gramEnd"/>
      <w:r w:rsidRPr="00056317">
        <w:rPr>
          <w:rFonts w:ascii="Times New Roman" w:hAnsi="Times New Roman"/>
          <w:sz w:val="24"/>
          <w:szCs w:val="24"/>
        </w:rPr>
        <w:t xml:space="preserve"> of voices, exemplified by the commissioning by and including of his work in a 1999 exhibit at the </w:t>
      </w:r>
      <w:proofErr w:type="spellStart"/>
      <w:r w:rsidRPr="00056317">
        <w:rPr>
          <w:rFonts w:ascii="Times New Roman" w:hAnsi="Times New Roman"/>
          <w:sz w:val="24"/>
          <w:szCs w:val="24"/>
        </w:rPr>
        <w:t>Ikon</w:t>
      </w:r>
      <w:proofErr w:type="spellEnd"/>
      <w:r w:rsidRPr="00056317">
        <w:rPr>
          <w:rFonts w:ascii="Times New Roman" w:hAnsi="Times New Roman"/>
          <w:sz w:val="24"/>
          <w:szCs w:val="24"/>
        </w:rPr>
        <w:t xml:space="preserve"> Gallery titled </w:t>
      </w:r>
      <w:r w:rsidRPr="00056317">
        <w:rPr>
          <w:rFonts w:ascii="Times New Roman" w:hAnsi="Times New Roman"/>
          <w:i/>
          <w:sz w:val="24"/>
          <w:szCs w:val="24"/>
        </w:rPr>
        <w:t>Babel: Contemporary Art and the Journeys of Conversation</w:t>
      </w:r>
      <w:r w:rsidRPr="00056317">
        <w:rPr>
          <w:rFonts w:ascii="Times New Roman" w:hAnsi="Times New Roman"/>
          <w:sz w:val="24"/>
          <w:szCs w:val="24"/>
        </w:rPr>
        <w:t xml:space="preserve">.  The 11 artists’ work featured in the exhibit share themes of translation, interruptions, alphabets, relationships of text and image, language taken in and out of context, Freudian slips, utterances, chatter, and communication losses.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incorporates all of these subjects in his sampled and mediated visual fragments and oral bites.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Similarly, the 2006 Alejandro </w:t>
      </w:r>
      <w:proofErr w:type="spellStart"/>
      <w:r w:rsidRPr="00056317">
        <w:rPr>
          <w:rFonts w:ascii="Times New Roman" w:hAnsi="Times New Roman"/>
          <w:sz w:val="24"/>
          <w:szCs w:val="24"/>
        </w:rPr>
        <w:t>González</w:t>
      </w:r>
      <w:proofErr w:type="spellEnd"/>
      <w:r w:rsidRPr="00056317">
        <w:rPr>
          <w:rFonts w:ascii="Times New Roman" w:hAnsi="Times New Roman"/>
          <w:sz w:val="24"/>
          <w:szCs w:val="24"/>
        </w:rPr>
        <w:t xml:space="preserve"> </w:t>
      </w:r>
      <w:proofErr w:type="spellStart"/>
      <w:r w:rsidRPr="00056317">
        <w:rPr>
          <w:rFonts w:ascii="Times New Roman" w:hAnsi="Times New Roman"/>
          <w:sz w:val="24"/>
          <w:szCs w:val="24"/>
        </w:rPr>
        <w:t>Iñárritu</w:t>
      </w:r>
      <w:proofErr w:type="spellEnd"/>
      <w:r w:rsidRPr="00056317">
        <w:rPr>
          <w:rFonts w:ascii="Times New Roman" w:hAnsi="Times New Roman"/>
          <w:sz w:val="24"/>
          <w:szCs w:val="24"/>
        </w:rPr>
        <w:t xml:space="preserve"> film </w:t>
      </w:r>
      <w:r w:rsidRPr="00056317">
        <w:rPr>
          <w:rFonts w:ascii="Times New Roman" w:hAnsi="Times New Roman"/>
          <w:i/>
          <w:sz w:val="24"/>
          <w:szCs w:val="24"/>
        </w:rPr>
        <w:t xml:space="preserve">Babel </w:t>
      </w:r>
      <w:r w:rsidRPr="00056317">
        <w:rPr>
          <w:rFonts w:ascii="Times New Roman" w:hAnsi="Times New Roman"/>
          <w:sz w:val="24"/>
          <w:szCs w:val="24"/>
        </w:rPr>
        <w:t>incorporates manifestations of the Babel metaphor in a specifically contemporary, technological, global culture.  The metonymically related stories that take place across the globe in the film are thematically linked by the loss of communication, despite the characters’ desperate attempts to cross language and cultural borders, to utilize cell phones and other information systems, and poignantly, to communicate in a variety of languages, including those of the deaf.</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One of the main characters, Chieko (played by </w:t>
      </w:r>
      <w:proofErr w:type="spellStart"/>
      <w:r w:rsidRPr="00056317">
        <w:rPr>
          <w:rFonts w:ascii="Times New Roman" w:hAnsi="Times New Roman"/>
          <w:sz w:val="24"/>
          <w:szCs w:val="24"/>
        </w:rPr>
        <w:t>Rinko</w:t>
      </w:r>
      <w:proofErr w:type="spellEnd"/>
      <w:r w:rsidRPr="00056317">
        <w:rPr>
          <w:rFonts w:ascii="Times New Roman" w:hAnsi="Times New Roman"/>
          <w:sz w:val="24"/>
          <w:szCs w:val="24"/>
        </w:rPr>
        <w:t xml:space="preserve"> Kikuchi) is a deaf Japanese teenager struggling with the suicide of her mother and her raging and confusing sexuality.  Like many teenage girls, no one seems to understand her, which is amplified by the fact that she communicates with the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world, like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through sign, lip reading, body language, </w:t>
      </w:r>
      <w:r w:rsidRPr="00056317">
        <w:rPr>
          <w:rFonts w:ascii="Times New Roman" w:hAnsi="Times New Roman"/>
          <w:sz w:val="24"/>
          <w:szCs w:val="24"/>
        </w:rPr>
        <w:lastRenderedPageBreak/>
        <w:t>and written notes.  The film captures her perceptual experiences.  For example, a scene in a dental office waiting room eliminates audio sound, and the gestures, actions, and movements of lips – observations of everyday life – seem random and incomprehensible through the background silence and through Chieko’s eyes.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In a later scene in a disco, Chieko’s perceptions of the strobe lights and ear-piercing American techno music are intensified by the intermittent absence of only the musical sound and by the camera’s fast editing.  Chieko “feels the music,” which is also intensified from her use of drugs and alcohol.  In this Babel of sensory stimulation, Chieko’s deafness does not prevent her from having a powerful moment of understanding.   No words are necessary as she witnesses the boy she has a crush on making out with her girlfriend.  The silence surrounding her as she walks home captures her feeling of isolation and complete absorption in her internal world.</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Larger themes of the film manifest in Chieko’s interaction with technology: dancing in the disco, signing with her deaf girlfriends through portable video devices, text messaging, becoming alerted by timed lights in her apartment, and channel surfing the television, during which she briefly touches on a news story about a shooting in Morocco that, unbeknownst to her, is connected to her family history. These technological media both enable and disable her communication with others.  Tragedies in </w:t>
      </w:r>
      <w:r w:rsidRPr="00056317">
        <w:rPr>
          <w:rFonts w:ascii="Times New Roman" w:hAnsi="Times New Roman"/>
          <w:i/>
          <w:sz w:val="24"/>
          <w:szCs w:val="24"/>
        </w:rPr>
        <w:t>Babel</w:t>
      </w:r>
      <w:r w:rsidRPr="00056317">
        <w:rPr>
          <w:rFonts w:ascii="Times New Roman" w:hAnsi="Times New Roman"/>
          <w:sz w:val="24"/>
          <w:szCs w:val="24"/>
        </w:rPr>
        <w:t xml:space="preserve"> among all the characters occur because of misinterpretations and assumptions of the “Other.”  Those in power cause anxiety and provoke defiance in the marginalized, producing the disempowered to react with violence and destruction.  In reaction to boys who have rejected her because of her deafness, Chieko signs angrily to her deaf friend: “They look at us like we’re monsters</w:t>
      </w:r>
      <w:r w:rsidRPr="00056317">
        <w:rPr>
          <w:rFonts w:ascii="Times New Roman" w:hAnsi="Times New Roman"/>
          <w:sz w:val="24"/>
          <w:szCs w:val="24"/>
        </w:rPr>
        <w:sym w:font="Symbol" w:char="F0BC"/>
      </w:r>
      <w:r w:rsidRPr="00056317">
        <w:rPr>
          <w:rFonts w:ascii="Times New Roman" w:hAnsi="Times New Roman"/>
          <w:sz w:val="24"/>
          <w:szCs w:val="24"/>
        </w:rPr>
        <w:t xml:space="preserve"> I’ll show them the real hairy monster,” as she removes her underwear and prepares to flash them.  She becomes or shows the “monster” they assume her to be.  Meanwhile in the film, random, unpredictable relationships arise that cross cultural, geographic, and communicative barriers.  Characters make unexpected connections emotionally, despite the seemingly divided world.</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This kind of metaphoric border is the site of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His works take place in the interactions between the deaf and the non-deaf and capture the dynamic intersections of cultures and languages.  Nicholas </w:t>
      </w:r>
      <w:proofErr w:type="spellStart"/>
      <w:r w:rsidRPr="00056317">
        <w:rPr>
          <w:rFonts w:ascii="Times New Roman" w:hAnsi="Times New Roman"/>
          <w:sz w:val="24"/>
          <w:szCs w:val="24"/>
        </w:rPr>
        <w:t>Mirzoeff</w:t>
      </w:r>
      <w:proofErr w:type="spellEnd"/>
      <w:r w:rsidRPr="00056317">
        <w:rPr>
          <w:rFonts w:ascii="Times New Roman" w:hAnsi="Times New Roman"/>
          <w:sz w:val="24"/>
          <w:szCs w:val="24"/>
        </w:rPr>
        <w:t xml:space="preserve"> states (1995, p. 10-11): </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left="720" w:right="720"/>
        <w:contextualSpacing/>
        <w:rPr>
          <w:rFonts w:ascii="Times New Roman" w:hAnsi="Times New Roman"/>
          <w:sz w:val="24"/>
          <w:szCs w:val="24"/>
        </w:rPr>
      </w:pPr>
      <w:r w:rsidRPr="00056317">
        <w:rPr>
          <w:rFonts w:ascii="Times New Roman" w:hAnsi="Times New Roman"/>
          <w:sz w:val="24"/>
          <w:szCs w:val="24"/>
        </w:rPr>
        <w:t xml:space="preserve">“Deafness can never be stable or essential, but is always a cultural construction in need of renewal, and an image in need of focus and definition….In order to visualize deafness, a screen must be created and defined, which in turn requires that it be framed; that is, have defined borders and parameters.  Neither the hearing nor the deaf live in self-contained worlds, but are interdependent on each other.  For as the hearing look at the deaf, the deaf look back and disrupt or confirm the image produced.  The result is what I shall call the ‘silent screen’ of deafness, which depicts neither the deaf themselves nor the view of the deaf seen by the hearing, but rather the product of the interaction of the two looking at each other.  It takes two people for deafness to be seen, one with hearing and one without.  The screen is the product of the intersection of two gazes which forms a certain space for perception, making it possible (in this case) to see the deaf within a category known as deafness.  This notion of the screen is derived from </w:t>
      </w:r>
      <w:r w:rsidRPr="00056317">
        <w:rPr>
          <w:rFonts w:ascii="Times New Roman" w:hAnsi="Times New Roman"/>
          <w:sz w:val="24"/>
          <w:szCs w:val="24"/>
        </w:rPr>
        <w:lastRenderedPageBreak/>
        <w:t xml:space="preserve">that proposed by Jacques </w:t>
      </w:r>
      <w:proofErr w:type="spellStart"/>
      <w:r w:rsidRPr="00056317">
        <w:rPr>
          <w:rFonts w:ascii="Times New Roman" w:hAnsi="Times New Roman"/>
          <w:sz w:val="24"/>
          <w:szCs w:val="24"/>
        </w:rPr>
        <w:t>Lacan</w:t>
      </w:r>
      <w:proofErr w:type="spellEnd"/>
      <w:r w:rsidRPr="00056317">
        <w:rPr>
          <w:rFonts w:ascii="Times New Roman" w:hAnsi="Times New Roman"/>
          <w:sz w:val="24"/>
          <w:szCs w:val="24"/>
        </w:rPr>
        <w:t>: ‘the screen is the locus of mediation’ between the gaze and the subject of representation.”</w:t>
      </w:r>
    </w:p>
    <w:p w:rsidR="00056317" w:rsidRPr="00056317" w:rsidRDefault="00056317" w:rsidP="00056317">
      <w:pPr>
        <w:pStyle w:val="NoSpacing"/>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The screen, which </w:t>
      </w:r>
      <w:proofErr w:type="spellStart"/>
      <w:r w:rsidRPr="00056317">
        <w:rPr>
          <w:rFonts w:ascii="Times New Roman" w:hAnsi="Times New Roman"/>
          <w:sz w:val="24"/>
          <w:szCs w:val="24"/>
        </w:rPr>
        <w:t>Mirzeoff’s</w:t>
      </w:r>
      <w:proofErr w:type="spellEnd"/>
      <w:r w:rsidRPr="00056317">
        <w:rPr>
          <w:rFonts w:ascii="Times New Roman" w:hAnsi="Times New Roman"/>
          <w:sz w:val="24"/>
          <w:szCs w:val="24"/>
        </w:rPr>
        <w:t xml:space="preserve"> describes as the interaction between deaf and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worlds, </w:t>
      </w:r>
      <w:proofErr w:type="spellStart"/>
      <w:r w:rsidRPr="00056317">
        <w:rPr>
          <w:rFonts w:ascii="Times New Roman" w:hAnsi="Times New Roman"/>
          <w:sz w:val="24"/>
          <w:szCs w:val="24"/>
        </w:rPr>
        <w:t>pixilates</w:t>
      </w:r>
      <w:proofErr w:type="spellEnd"/>
      <w:r w:rsidRPr="00056317">
        <w:rPr>
          <w:rFonts w:ascii="Times New Roman" w:hAnsi="Times New Roman"/>
          <w:sz w:val="24"/>
          <w:szCs w:val="24"/>
        </w:rPr>
        <w:t xml:space="preserve"> in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His compositional frames perform and record the performances of such interfaces.</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both documents and embodies performances.  At the Barbican Art Centre in London,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composed </w:t>
      </w:r>
      <w:r w:rsidRPr="00056317">
        <w:rPr>
          <w:rFonts w:ascii="Times New Roman" w:hAnsi="Times New Roman"/>
          <w:i/>
          <w:sz w:val="24"/>
          <w:szCs w:val="24"/>
        </w:rPr>
        <w:t>Barbican Conversations</w:t>
      </w:r>
      <w:r w:rsidRPr="00056317">
        <w:rPr>
          <w:rFonts w:ascii="Times New Roman" w:hAnsi="Times New Roman"/>
          <w:sz w:val="24"/>
          <w:szCs w:val="24"/>
        </w:rPr>
        <w:t xml:space="preserve"> (1998) from exchanges with visitors whom he approached at the centre.  He sampled these interactions and printed them on brochures and posters, which were redistributed throughout the Art Centre’s information and communication systems.  Here, the pieces document live performances and take part in multiple forms of </w:t>
      </w:r>
      <w:proofErr w:type="spellStart"/>
      <w:r w:rsidRPr="00056317">
        <w:rPr>
          <w:rFonts w:ascii="Times New Roman" w:hAnsi="Times New Roman"/>
          <w:sz w:val="24"/>
          <w:szCs w:val="24"/>
        </w:rPr>
        <w:t>performative</w:t>
      </w:r>
      <w:proofErr w:type="spellEnd"/>
      <w:r w:rsidRPr="00056317">
        <w:rPr>
          <w:rFonts w:ascii="Times New Roman" w:hAnsi="Times New Roman"/>
          <w:sz w:val="24"/>
          <w:szCs w:val="24"/>
        </w:rPr>
        <w:t xml:space="preserve"> exchange.  Katz (2004) states that quotations and sound fragments that are </w:t>
      </w:r>
      <w:proofErr w:type="spellStart"/>
      <w:r w:rsidRPr="00056317">
        <w:rPr>
          <w:rFonts w:ascii="Times New Roman" w:hAnsi="Times New Roman"/>
          <w:sz w:val="24"/>
          <w:szCs w:val="24"/>
        </w:rPr>
        <w:t>decontextualized</w:t>
      </w:r>
      <w:proofErr w:type="spellEnd"/>
      <w:r w:rsidRPr="00056317">
        <w:rPr>
          <w:rFonts w:ascii="Times New Roman" w:hAnsi="Times New Roman"/>
          <w:sz w:val="24"/>
          <w:szCs w:val="24"/>
        </w:rPr>
        <w:t xml:space="preserve"> and </w:t>
      </w:r>
      <w:proofErr w:type="spellStart"/>
      <w:r w:rsidRPr="00056317">
        <w:rPr>
          <w:rFonts w:ascii="Times New Roman" w:hAnsi="Times New Roman"/>
          <w:sz w:val="24"/>
          <w:szCs w:val="24"/>
        </w:rPr>
        <w:t>recontextualized</w:t>
      </w:r>
      <w:proofErr w:type="spellEnd"/>
      <w:r w:rsidRPr="00056317">
        <w:rPr>
          <w:rFonts w:ascii="Times New Roman" w:hAnsi="Times New Roman"/>
          <w:sz w:val="24"/>
          <w:szCs w:val="24"/>
        </w:rPr>
        <w:t xml:space="preserve"> in digital sampling are only complete when performed, such that by nature sampling is a </w:t>
      </w:r>
      <w:proofErr w:type="spellStart"/>
      <w:r w:rsidRPr="00056317">
        <w:rPr>
          <w:rFonts w:ascii="Times New Roman" w:hAnsi="Times New Roman"/>
          <w:sz w:val="24"/>
          <w:szCs w:val="24"/>
        </w:rPr>
        <w:t>performative</w:t>
      </w:r>
      <w:proofErr w:type="spellEnd"/>
      <w:r w:rsidRPr="00056317">
        <w:rPr>
          <w:rFonts w:ascii="Times New Roman" w:hAnsi="Times New Roman"/>
          <w:sz w:val="24"/>
          <w:szCs w:val="24"/>
        </w:rPr>
        <w:t xml:space="preserve"> form of quotation (p. 140).  One of the main tenants of performance art is the engagement of the artist’s work/body with the viewer.  The interactions with viewers and live audiences compose performance pieces.  Because </w:t>
      </w:r>
      <w:proofErr w:type="spellStart"/>
      <w:r w:rsidRPr="00056317">
        <w:rPr>
          <w:rFonts w:ascii="Times New Roman" w:hAnsi="Times New Roman"/>
          <w:sz w:val="24"/>
          <w:szCs w:val="24"/>
        </w:rPr>
        <w:t>Grigely</w:t>
      </w:r>
      <w:proofErr w:type="spellEnd"/>
      <w:r w:rsidRPr="00056317">
        <w:rPr>
          <w:rFonts w:ascii="Times New Roman" w:hAnsi="Times New Roman"/>
          <w:sz w:val="24"/>
          <w:szCs w:val="24"/>
        </w:rPr>
        <w:t xml:space="preserve"> extracts the identity of individual speakers in his quotes, like how most musical sampling eviscerates any meaning attached to the original song/sound, the works are about perception of the viewer/speaker.  Their main subject is the medium of conversation and the dynamics of communication rather than the specific content of the words.  The viewer/listener then becomes a performer/reader and part of the performance.</w:t>
      </w:r>
    </w:p>
    <w:p w:rsidR="00056317" w:rsidRPr="00056317" w:rsidRDefault="00056317" w:rsidP="00056317">
      <w:pPr>
        <w:pStyle w:val="NoSpacing"/>
        <w:ind w:firstLine="720"/>
        <w:contextualSpacing/>
        <w:rPr>
          <w:rFonts w:ascii="Times New Roman" w:hAnsi="Times New Roman"/>
          <w:sz w:val="24"/>
          <w:szCs w:val="24"/>
        </w:rPr>
      </w:pPr>
    </w:p>
    <w:p w:rsidR="00056317" w:rsidRPr="00056317" w:rsidRDefault="00056317" w:rsidP="00056317">
      <w:pPr>
        <w:pStyle w:val="NoSpacing"/>
        <w:ind w:firstLine="720"/>
        <w:contextualSpacing/>
        <w:rPr>
          <w:rFonts w:ascii="Times New Roman" w:hAnsi="Times New Roman"/>
          <w:sz w:val="24"/>
          <w:szCs w:val="24"/>
        </w:rPr>
      </w:pPr>
      <w:r w:rsidRPr="00056317">
        <w:rPr>
          <w:rFonts w:ascii="Times New Roman" w:hAnsi="Times New Roman"/>
          <w:sz w:val="24"/>
          <w:szCs w:val="24"/>
        </w:rPr>
        <w:t xml:space="preserve">With metaphorical turntables,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visual, oral, and written mixes turn the tables on conventional language and knowledge, most explicitly, but not exclusively about deafness.  Darrow and Loomis (1999) note that </w:t>
      </w:r>
      <w:proofErr w:type="spellStart"/>
      <w:r w:rsidRPr="00056317">
        <w:rPr>
          <w:rFonts w:ascii="Times New Roman" w:hAnsi="Times New Roman"/>
          <w:sz w:val="24"/>
          <w:szCs w:val="24"/>
        </w:rPr>
        <w:t>mis</w:t>
      </w:r>
      <w:proofErr w:type="spellEnd"/>
      <w:r w:rsidRPr="00056317">
        <w:rPr>
          <w:rFonts w:ascii="Times New Roman" w:hAnsi="Times New Roman"/>
          <w:sz w:val="24"/>
          <w:szCs w:val="24"/>
        </w:rPr>
        <w:t xml:space="preserve">- or lack of communication between deaf and </w:t>
      </w:r>
      <w:proofErr w:type="spellStart"/>
      <w:r w:rsidRPr="00056317">
        <w:rPr>
          <w:rFonts w:ascii="Times New Roman" w:hAnsi="Times New Roman"/>
          <w:sz w:val="24"/>
          <w:szCs w:val="24"/>
        </w:rPr>
        <w:t>nondeaf</w:t>
      </w:r>
      <w:proofErr w:type="spellEnd"/>
      <w:r w:rsidRPr="00056317">
        <w:rPr>
          <w:rFonts w:ascii="Times New Roman" w:hAnsi="Times New Roman"/>
          <w:sz w:val="24"/>
          <w:szCs w:val="24"/>
        </w:rPr>
        <w:t xml:space="preserve"> communities lead to misunderstandings and false stereotypes.  But within the interfaces of cultures and languages, albeit fragmented</w:t>
      </w:r>
      <w:r w:rsidRPr="00056317">
        <w:rPr>
          <w:rFonts w:ascii="Times New Roman" w:hAnsi="Times New Roman"/>
          <w:b/>
          <w:sz w:val="24"/>
          <w:szCs w:val="24"/>
        </w:rPr>
        <w:t xml:space="preserve">, </w:t>
      </w:r>
      <w:r w:rsidRPr="00056317">
        <w:rPr>
          <w:rFonts w:ascii="Times New Roman" w:hAnsi="Times New Roman"/>
          <w:sz w:val="24"/>
          <w:szCs w:val="24"/>
        </w:rPr>
        <w:t xml:space="preserve">unexpected relations do occur, as they do in the film </w:t>
      </w:r>
      <w:r w:rsidRPr="00056317">
        <w:rPr>
          <w:rFonts w:ascii="Times New Roman" w:hAnsi="Times New Roman"/>
          <w:i/>
          <w:sz w:val="24"/>
          <w:szCs w:val="24"/>
        </w:rPr>
        <w:t>Babel</w:t>
      </w:r>
      <w:r w:rsidRPr="00056317">
        <w:rPr>
          <w:rFonts w:ascii="Times New Roman" w:hAnsi="Times New Roman"/>
          <w:sz w:val="24"/>
          <w:szCs w:val="24"/>
        </w:rPr>
        <w:t xml:space="preserve">.  Connections go hand-to-paper, sign-to-sign, </w:t>
      </w:r>
      <w:proofErr w:type="gramStart"/>
      <w:r w:rsidRPr="00056317">
        <w:rPr>
          <w:rFonts w:ascii="Times New Roman" w:hAnsi="Times New Roman"/>
          <w:sz w:val="24"/>
          <w:szCs w:val="24"/>
        </w:rPr>
        <w:t>lips</w:t>
      </w:r>
      <w:proofErr w:type="gramEnd"/>
      <w:r w:rsidRPr="00056317">
        <w:rPr>
          <w:rFonts w:ascii="Times New Roman" w:hAnsi="Times New Roman"/>
          <w:sz w:val="24"/>
          <w:szCs w:val="24"/>
        </w:rPr>
        <w:t xml:space="preserve">-to-eyes, alongside misconnections.  </w:t>
      </w:r>
      <w:proofErr w:type="spellStart"/>
      <w:r w:rsidRPr="00056317">
        <w:rPr>
          <w:rFonts w:ascii="Times New Roman" w:hAnsi="Times New Roman"/>
          <w:sz w:val="24"/>
          <w:szCs w:val="24"/>
        </w:rPr>
        <w:t>Grigely’s</w:t>
      </w:r>
      <w:proofErr w:type="spellEnd"/>
      <w:r w:rsidRPr="00056317">
        <w:rPr>
          <w:rFonts w:ascii="Times New Roman" w:hAnsi="Times New Roman"/>
          <w:sz w:val="24"/>
          <w:szCs w:val="24"/>
        </w:rPr>
        <w:t xml:space="preserve"> work, in highlighting and documenting the flavors, melodies, and colors of social interactions, suggest that all communication is a multimedia performance, composed of gestures, expressions, body language, and intonation.  All means if communication contribute to the rhythm of seeing, speaking, performing, quoting, talking, talking back, uttering, chatting, and </w:t>
      </w:r>
      <w:proofErr w:type="spellStart"/>
      <w:r w:rsidRPr="00056317">
        <w:rPr>
          <w:rFonts w:ascii="Times New Roman" w:hAnsi="Times New Roman"/>
          <w:sz w:val="24"/>
          <w:szCs w:val="24"/>
        </w:rPr>
        <w:t>babeling</w:t>
      </w:r>
      <w:proofErr w:type="spellEnd"/>
      <w:r w:rsidRPr="00056317">
        <w:rPr>
          <w:rFonts w:ascii="Times New Roman" w:hAnsi="Times New Roman"/>
          <w:sz w:val="24"/>
          <w:szCs w:val="24"/>
        </w:rPr>
        <w:t>.</w:t>
      </w:r>
    </w:p>
    <w:p w:rsidR="00056317" w:rsidRPr="00056317" w:rsidRDefault="00056317" w:rsidP="00056317">
      <w:pPr>
        <w:pStyle w:val="NoSpacing"/>
        <w:contextualSpacing/>
        <w:rPr>
          <w:rFonts w:ascii="Times New Roman" w:hAnsi="Times New Roman"/>
          <w:sz w:val="24"/>
          <w:szCs w:val="24"/>
        </w:rPr>
      </w:pPr>
    </w:p>
    <w:p w:rsidR="00056317" w:rsidRPr="00056317" w:rsidRDefault="00056317" w:rsidP="00056317">
      <w:pPr>
        <w:pStyle w:val="NoSpacing"/>
        <w:contextualSpacing/>
        <w:rPr>
          <w:rFonts w:ascii="Times New Roman" w:hAnsi="Times New Roman"/>
          <w:sz w:val="24"/>
          <w:szCs w:val="24"/>
        </w:rPr>
      </w:pPr>
      <w:r w:rsidRPr="00056317">
        <w:rPr>
          <w:rFonts w:ascii="Times New Roman" w:hAnsi="Times New Roman"/>
          <w:b/>
          <w:sz w:val="24"/>
          <w:szCs w:val="24"/>
        </w:rPr>
        <w:t>Ann Millett</w:t>
      </w:r>
      <w:r w:rsidRPr="00056317">
        <w:rPr>
          <w:rFonts w:ascii="Times New Roman" w:hAnsi="Times New Roman"/>
          <w:sz w:val="24"/>
          <w:szCs w:val="24"/>
        </w:rPr>
        <w:t xml:space="preserve"> received her PhD from the University of North Carolina at Chapel Hill in 2005, where she focused on modern and contemporary art history and disability studies.  She is currently teaching full time for the University of North Carolina at Greensboro.</w:t>
      </w:r>
    </w:p>
    <w:p w:rsidR="00056317" w:rsidRPr="00056317" w:rsidRDefault="00056317" w:rsidP="00056317">
      <w:pPr>
        <w:pStyle w:val="NoSpacing"/>
        <w:contextualSpacing/>
        <w:rPr>
          <w:rFonts w:ascii="Times New Roman" w:hAnsi="Times New Roman"/>
          <w:sz w:val="24"/>
          <w:szCs w:val="24"/>
        </w:rPr>
      </w:pPr>
    </w:p>
    <w:p w:rsidR="00056317" w:rsidRPr="00056317" w:rsidRDefault="00056317" w:rsidP="00056317">
      <w:pPr>
        <w:pStyle w:val="NormalWeb"/>
        <w:spacing w:before="0" w:beforeAutospacing="0" w:after="0" w:afterAutospacing="0"/>
        <w:jc w:val="center"/>
      </w:pPr>
      <w:r w:rsidRPr="00056317">
        <w:t>References</w:t>
      </w:r>
    </w:p>
    <w:p w:rsidR="00056317" w:rsidRPr="00056317" w:rsidRDefault="00056317" w:rsidP="00056317">
      <w:pPr>
        <w:pStyle w:val="NormalWeb"/>
        <w:spacing w:before="0" w:beforeAutospacing="0" w:after="0" w:afterAutospacing="0"/>
        <w:jc w:val="center"/>
      </w:pPr>
    </w:p>
    <w:p w:rsidR="00056317" w:rsidRPr="00056317" w:rsidRDefault="00056317" w:rsidP="00056317">
      <w:pPr>
        <w:pStyle w:val="NormalWeb"/>
        <w:spacing w:before="0" w:beforeAutospacing="0" w:after="0" w:afterAutospacing="0"/>
        <w:ind w:left="720" w:hanging="720"/>
      </w:pPr>
      <w:r w:rsidRPr="00056317">
        <w:t xml:space="preserve">Banner, F., Biggs, S., Jones, S., &amp; </w:t>
      </w:r>
      <w:proofErr w:type="spellStart"/>
      <w:r w:rsidRPr="00056317">
        <w:t>Ikon</w:t>
      </w:r>
      <w:proofErr w:type="spellEnd"/>
      <w:r w:rsidRPr="00056317">
        <w:t xml:space="preserve"> Gallery. (1999). </w:t>
      </w:r>
      <w:r w:rsidRPr="00056317">
        <w:rPr>
          <w:i/>
          <w:iCs/>
        </w:rPr>
        <w:t>Babel: Contemporary art and the journeys of communication</w:t>
      </w:r>
      <w:r w:rsidRPr="00056317">
        <w:t xml:space="preserve">. Birmingham, UK: </w:t>
      </w:r>
      <w:proofErr w:type="spellStart"/>
      <w:r w:rsidRPr="00056317">
        <w:t>Ikon</w:t>
      </w:r>
      <w:proofErr w:type="spellEnd"/>
      <w:r w:rsidRPr="00056317">
        <w:t xml:space="preserve"> Gallery.</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Biemiller</w:t>
      </w:r>
      <w:proofErr w:type="spellEnd"/>
      <w:r w:rsidRPr="00056317">
        <w:t xml:space="preserve">, L. (2000, November 17). </w:t>
      </w:r>
      <w:proofErr w:type="gramStart"/>
      <w:r w:rsidRPr="00056317">
        <w:t>Art that pricks up your ears.</w:t>
      </w:r>
      <w:proofErr w:type="gramEnd"/>
      <w:r w:rsidRPr="00056317">
        <w:t xml:space="preserve"> </w:t>
      </w:r>
      <w:r w:rsidRPr="00056317">
        <w:rPr>
          <w:i/>
          <w:iCs/>
        </w:rPr>
        <w:t>Chronicle of Higher Education</w:t>
      </w:r>
      <w:r w:rsidRPr="00056317">
        <w:t xml:space="preserve"> 47: 1(1), A88.</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Brueggemann</w:t>
      </w:r>
      <w:proofErr w:type="spellEnd"/>
      <w:r w:rsidRPr="00056317">
        <w:t xml:space="preserve">, B. J. (1999). </w:t>
      </w:r>
      <w:r w:rsidRPr="00056317">
        <w:rPr>
          <w:i/>
          <w:iCs/>
        </w:rPr>
        <w:t>Lend me your ear: Rhetorical constructions of deafness</w:t>
      </w:r>
      <w:r w:rsidRPr="00056317">
        <w:t>. Washington, D.C.: Gallaudet University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r w:rsidRPr="00056317">
        <w:t xml:space="preserve">Cash, S. (2006). </w:t>
      </w:r>
      <w:proofErr w:type="gramStart"/>
      <w:r w:rsidRPr="00056317">
        <w:rPr>
          <w:i/>
          <w:iCs/>
        </w:rPr>
        <w:t>New and now</w:t>
      </w:r>
      <w:r w:rsidRPr="00056317">
        <w:t xml:space="preserve"> (Vol. 94).</w:t>
      </w:r>
      <w:proofErr w:type="gramEnd"/>
      <w:r w:rsidRPr="00056317">
        <w:t xml:space="preserve"> Brant Publications, Inc.</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r w:rsidRPr="00056317">
        <w:t xml:space="preserve">Darrow, A. (2006). The role of music in deaf culture: Deaf students' perception of emotion in music. </w:t>
      </w:r>
      <w:r w:rsidRPr="00056317">
        <w:rPr>
          <w:i/>
          <w:iCs/>
        </w:rPr>
        <w:t>Journal of Music Therapy,</w:t>
      </w:r>
      <w:r w:rsidRPr="00056317">
        <w:t xml:space="preserve"> </w:t>
      </w:r>
      <w:r w:rsidRPr="00056317">
        <w:rPr>
          <w:i/>
        </w:rPr>
        <w:t>43</w:t>
      </w:r>
      <w:r w:rsidRPr="00056317">
        <w:t>, 2-15.</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gramStart"/>
      <w:r w:rsidRPr="00056317">
        <w:t>Darrow, A., &amp; Loomis.</w:t>
      </w:r>
      <w:proofErr w:type="gramEnd"/>
      <w:r w:rsidRPr="00056317">
        <w:t xml:space="preserve"> D. M. (1999). Music and deaf culture: Images from the media and their interpretation by deaf and hearing students. </w:t>
      </w:r>
      <w:proofErr w:type="gramStart"/>
      <w:r w:rsidRPr="00056317">
        <w:rPr>
          <w:i/>
          <w:iCs/>
        </w:rPr>
        <w:t>Journal of Music Therapy,</w:t>
      </w:r>
      <w:r w:rsidRPr="00056317">
        <w:t xml:space="preserve"> </w:t>
      </w:r>
      <w:r w:rsidRPr="00056317">
        <w:rPr>
          <w:i/>
        </w:rPr>
        <w:t>36</w:t>
      </w:r>
      <w:r w:rsidRPr="00056317">
        <w:t>, 88-10.</w:t>
      </w:r>
      <w:proofErr w:type="gramEnd"/>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gramStart"/>
      <w:r w:rsidRPr="00056317">
        <w:t>Davidson, M. (2002).</w:t>
      </w:r>
      <w:proofErr w:type="gramEnd"/>
      <w:r w:rsidRPr="00056317">
        <w:t xml:space="preserve"> </w:t>
      </w:r>
      <w:proofErr w:type="gramStart"/>
      <w:r w:rsidRPr="00056317">
        <w:t>Hearing things: The scandal of speech in deaf performance.</w:t>
      </w:r>
      <w:proofErr w:type="gramEnd"/>
      <w:r w:rsidRPr="00056317">
        <w:t xml:space="preserve"> In S. Snyder, B. J. </w:t>
      </w:r>
      <w:proofErr w:type="spellStart"/>
      <w:r w:rsidRPr="00056317">
        <w:t>Brueggemann</w:t>
      </w:r>
      <w:proofErr w:type="spellEnd"/>
      <w:r w:rsidRPr="00056317">
        <w:t xml:space="preserve">, &amp; R. Garland-Thomson (Eds.), </w:t>
      </w:r>
      <w:r w:rsidRPr="00056317">
        <w:rPr>
          <w:i/>
          <w:iCs/>
        </w:rPr>
        <w:t>Disability studies: Enabling the humanities</w:t>
      </w:r>
      <w:r w:rsidRPr="00056317">
        <w:t xml:space="preserve"> (pp. 76-87). New York: The Modern Language Association.</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proofErr w:type="gramStart"/>
      <w:r w:rsidRPr="00056317">
        <w:t>Fineman</w:t>
      </w:r>
      <w:proofErr w:type="spellEnd"/>
      <w:r w:rsidRPr="00056317">
        <w:t>, M. (2007).</w:t>
      </w:r>
      <w:proofErr w:type="gramEnd"/>
      <w:r w:rsidRPr="00056317">
        <w:t xml:space="preserve"> Reviews 1996: Joseph </w:t>
      </w:r>
      <w:proofErr w:type="spellStart"/>
      <w:r w:rsidRPr="00056317">
        <w:t>Grigely</w:t>
      </w:r>
      <w:proofErr w:type="spellEnd"/>
      <w:r w:rsidRPr="00056317">
        <w:t xml:space="preserve"> at AC Project Room. Retrieved from</w:t>
      </w:r>
      <w:proofErr w:type="gramStart"/>
      <w:r w:rsidRPr="00056317">
        <w:t>,</w:t>
      </w:r>
      <w:proofErr w:type="gramEnd"/>
      <w:r w:rsidRPr="00056317">
        <w:fldChar w:fldCharType="begin"/>
      </w:r>
      <w:r w:rsidRPr="00056317">
        <w:instrText xml:space="preserve"> HYPERLINK "http://www.artnet.com/magazine_pre2000/reviews/fineman/fineman7-10-96.asp" </w:instrText>
      </w:r>
      <w:r w:rsidRPr="00056317">
        <w:fldChar w:fldCharType="separate"/>
      </w:r>
      <w:r w:rsidRPr="00056317">
        <w:rPr>
          <w:rStyle w:val="Hyperlink"/>
          <w:rFonts w:eastAsiaTheme="majorEastAsia"/>
          <w:color w:val="auto"/>
        </w:rPr>
        <w:t>http://www.artnet.com/magazine_pre2000/reviews/fineman/fineman7-10-96.asp</w:t>
      </w:r>
      <w:r w:rsidRPr="00056317">
        <w:fldChar w:fldCharType="end"/>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r w:rsidRPr="00056317">
        <w:t xml:space="preserve">Frank, N. (2004, May/June). Oak Park, Illinois. </w:t>
      </w:r>
      <w:r w:rsidRPr="00056317">
        <w:rPr>
          <w:i/>
          <w:iCs/>
        </w:rPr>
        <w:t>Art Papers,</w:t>
      </w:r>
      <w:r w:rsidRPr="00056317">
        <w:t xml:space="preserve"> </w:t>
      </w:r>
      <w:r w:rsidRPr="00056317">
        <w:rPr>
          <w:i/>
        </w:rPr>
        <w:t>28</w:t>
      </w:r>
      <w:r w:rsidRPr="00056317">
        <w:t>(3), 51-52.</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gramStart"/>
      <w:r w:rsidRPr="00056317">
        <w:t>Gandy Gallery, The.</w:t>
      </w:r>
      <w:proofErr w:type="gramEnd"/>
      <w:r w:rsidRPr="00056317">
        <w:t xml:space="preserve"> </w:t>
      </w:r>
      <w:proofErr w:type="gramStart"/>
      <w:r w:rsidRPr="00056317">
        <w:t>(</w:t>
      </w:r>
      <w:proofErr w:type="spellStart"/>
      <w:r w:rsidRPr="00056317">
        <w:t>n.d</w:t>
      </w:r>
      <w:proofErr w:type="spellEnd"/>
      <w:r w:rsidRPr="00056317">
        <w:t>.).</w:t>
      </w:r>
      <w:proofErr w:type="gramEnd"/>
      <w:r w:rsidRPr="00056317">
        <w:t xml:space="preserve"> Retrieved July 8, 2007, from http://www.gandy-gallery.com</w:t>
      </w:r>
    </w:p>
    <w:p w:rsidR="00056317" w:rsidRPr="00056317" w:rsidRDefault="00056317" w:rsidP="00056317">
      <w:pPr>
        <w:pStyle w:val="NormalWeb"/>
        <w:spacing w:before="0" w:beforeAutospacing="0" w:after="0" w:afterAutospacing="0"/>
        <w:ind w:left="720" w:hanging="720"/>
        <w:rPr>
          <w:i/>
          <w:iCs/>
        </w:rPr>
      </w:pPr>
    </w:p>
    <w:p w:rsidR="00056317" w:rsidRPr="00056317" w:rsidRDefault="00056317" w:rsidP="00056317">
      <w:pPr>
        <w:pStyle w:val="NormalWeb"/>
        <w:spacing w:before="0" w:beforeAutospacing="0" w:after="0" w:afterAutospacing="0"/>
        <w:ind w:left="720" w:hanging="720"/>
      </w:pPr>
      <w:proofErr w:type="spellStart"/>
      <w:r w:rsidRPr="00056317">
        <w:t>González</w:t>
      </w:r>
      <w:proofErr w:type="spellEnd"/>
      <w:r w:rsidRPr="00056317">
        <w:t xml:space="preserve"> </w:t>
      </w:r>
      <w:proofErr w:type="spellStart"/>
      <w:r w:rsidRPr="00056317">
        <w:t>Iñárritu</w:t>
      </w:r>
      <w:proofErr w:type="spellEnd"/>
      <w:r w:rsidRPr="00056317">
        <w:t>,</w:t>
      </w:r>
      <w:r w:rsidRPr="00056317">
        <w:rPr>
          <w:i/>
          <w:iCs/>
        </w:rPr>
        <w:t xml:space="preserve"> </w:t>
      </w:r>
      <w:r w:rsidRPr="00056317">
        <w:t xml:space="preserve">A. (Writer/Director). </w:t>
      </w:r>
      <w:proofErr w:type="gramStart"/>
      <w:r w:rsidRPr="00056317">
        <w:t xml:space="preserve">(2006). </w:t>
      </w:r>
      <w:r w:rsidRPr="00056317">
        <w:rPr>
          <w:i/>
          <w:iCs/>
        </w:rPr>
        <w:t xml:space="preserve">Babel </w:t>
      </w:r>
      <w:r w:rsidRPr="00056317">
        <w:rPr>
          <w:iCs/>
        </w:rPr>
        <w:t>[Motion picture]</w:t>
      </w:r>
      <w:r w:rsidRPr="00056317">
        <w:rPr>
          <w:i/>
          <w:iCs/>
        </w:rPr>
        <w:t>.</w:t>
      </w:r>
      <w:proofErr w:type="gramEnd"/>
      <w:r w:rsidRPr="00056317">
        <w:rPr>
          <w:i/>
          <w:iCs/>
        </w:rPr>
        <w:t xml:space="preserve"> </w:t>
      </w:r>
      <w:r w:rsidRPr="00056317">
        <w:rPr>
          <w:iCs/>
        </w:rPr>
        <w:t>United States</w:t>
      </w:r>
      <w:r w:rsidRPr="00056317">
        <w:t>: Paramount Home Entertainment.</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Grigely</w:t>
      </w:r>
      <w:proofErr w:type="spellEnd"/>
      <w:r w:rsidRPr="00056317">
        <w:t xml:space="preserve">, J. (2006, August). Blindness and deafness as metaphors: An anthological essay. </w:t>
      </w:r>
      <w:r w:rsidRPr="00056317">
        <w:rPr>
          <w:i/>
          <w:iCs/>
        </w:rPr>
        <w:t>Journal of Visual Culture,</w:t>
      </w:r>
      <w:r w:rsidRPr="00056317">
        <w:t xml:space="preserve"> </w:t>
      </w:r>
      <w:r w:rsidRPr="00056317">
        <w:rPr>
          <w:i/>
        </w:rPr>
        <w:t>5</w:t>
      </w:r>
      <w:r w:rsidRPr="00056317">
        <w:t>(2), 227-241.</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Grigely</w:t>
      </w:r>
      <w:proofErr w:type="spellEnd"/>
      <w:r w:rsidRPr="00056317">
        <w:t xml:space="preserve">, J. (1994). </w:t>
      </w:r>
      <w:r w:rsidRPr="00056317">
        <w:rPr>
          <w:i/>
          <w:iCs/>
        </w:rPr>
        <w:t>Deaf &amp; dumb: A tale</w:t>
      </w:r>
      <w:r w:rsidRPr="00056317">
        <w:t xml:space="preserve">. New York, N.Y: J. </w:t>
      </w:r>
      <w:proofErr w:type="spellStart"/>
      <w:r w:rsidRPr="00056317">
        <w:t>Grigely</w:t>
      </w:r>
      <w:proofErr w:type="spellEnd"/>
      <w:r w:rsidRPr="00056317">
        <w:t xml:space="preserve"> &amp; White Columns.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Grigely</w:t>
      </w:r>
      <w:proofErr w:type="spellEnd"/>
      <w:r w:rsidRPr="00056317">
        <w:t xml:space="preserve">, J. (1995). </w:t>
      </w:r>
      <w:proofErr w:type="spellStart"/>
      <w:r w:rsidRPr="00056317">
        <w:rPr>
          <w:i/>
          <w:iCs/>
        </w:rPr>
        <w:t>Textalterity</w:t>
      </w:r>
      <w:proofErr w:type="spellEnd"/>
      <w:r w:rsidRPr="00056317">
        <w:rPr>
          <w:i/>
          <w:iCs/>
        </w:rPr>
        <w:t>: Art, theory and textual criticism</w:t>
      </w:r>
      <w:r w:rsidRPr="00056317">
        <w:t>. Ann Arbor: University of Michigan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Grigely</w:t>
      </w:r>
      <w:proofErr w:type="spellEnd"/>
      <w:r w:rsidRPr="00056317">
        <w:t xml:space="preserve">, J. (2000). </w:t>
      </w:r>
      <w:proofErr w:type="gramStart"/>
      <w:r w:rsidRPr="00056317">
        <w:t xml:space="preserve">Postcards to Sophie </w:t>
      </w:r>
      <w:proofErr w:type="spellStart"/>
      <w:r w:rsidRPr="00056317">
        <w:t>Calle</w:t>
      </w:r>
      <w:proofErr w:type="spellEnd"/>
      <w:r w:rsidRPr="00056317">
        <w:t>.</w:t>
      </w:r>
      <w:proofErr w:type="gramEnd"/>
      <w:r w:rsidRPr="00056317">
        <w:t xml:space="preserve"> In T. </w:t>
      </w:r>
      <w:proofErr w:type="spellStart"/>
      <w:r w:rsidRPr="00056317">
        <w:t>Siebers</w:t>
      </w:r>
      <w:proofErr w:type="spellEnd"/>
      <w:r w:rsidRPr="00056317">
        <w:t xml:space="preserve"> (Ed.), </w:t>
      </w:r>
      <w:proofErr w:type="gramStart"/>
      <w:r w:rsidRPr="00056317">
        <w:rPr>
          <w:i/>
          <w:iCs/>
        </w:rPr>
        <w:t>The</w:t>
      </w:r>
      <w:proofErr w:type="gramEnd"/>
      <w:r w:rsidRPr="00056317">
        <w:rPr>
          <w:i/>
          <w:iCs/>
        </w:rPr>
        <w:t xml:space="preserve"> body aesthetic: From fine art to body modification</w:t>
      </w:r>
      <w:r w:rsidRPr="00056317">
        <w:t xml:space="preserve"> (pp. 17-40). Ann Arbor: University of Michigan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Grigely</w:t>
      </w:r>
      <w:proofErr w:type="spellEnd"/>
      <w:r w:rsidRPr="00056317">
        <w:t xml:space="preserve">, J. (2003). The next </w:t>
      </w:r>
      <w:proofErr w:type="spellStart"/>
      <w:r w:rsidRPr="00056317">
        <w:t>Documenta</w:t>
      </w:r>
      <w:proofErr w:type="spellEnd"/>
      <w:r w:rsidRPr="00056317">
        <w:t xml:space="preserve"> should be </w:t>
      </w:r>
      <w:proofErr w:type="spellStart"/>
      <w:r w:rsidRPr="00056317">
        <w:t>curated</w:t>
      </w:r>
      <w:proofErr w:type="spellEnd"/>
      <w:r w:rsidRPr="00056317">
        <w:t xml:space="preserve"> by an Artist. </w:t>
      </w:r>
      <w:proofErr w:type="gramStart"/>
      <w:r w:rsidRPr="00056317">
        <w:t xml:space="preserve">Retrieved, 2007, from </w:t>
      </w:r>
      <w:r w:rsidRPr="00056317">
        <w:rPr>
          <w:i/>
          <w:iCs/>
        </w:rPr>
        <w:t>E-Flux (Electronic Flux Corporation)</w:t>
      </w:r>
      <w:r w:rsidRPr="00056317">
        <w:t>.</w:t>
      </w:r>
      <w:proofErr w:type="gramEnd"/>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Heartney</w:t>
      </w:r>
      <w:proofErr w:type="spellEnd"/>
      <w:r w:rsidRPr="00056317">
        <w:t xml:space="preserve">, E. (2006). </w:t>
      </w:r>
      <w:proofErr w:type="gramStart"/>
      <w:r w:rsidRPr="00056317">
        <w:t xml:space="preserve">Joseph </w:t>
      </w:r>
      <w:proofErr w:type="spellStart"/>
      <w:r w:rsidRPr="00056317">
        <w:t>Grigely</w:t>
      </w:r>
      <w:proofErr w:type="spellEnd"/>
      <w:r w:rsidRPr="00056317">
        <w:t xml:space="preserve"> at Cohan and Leslie.</w:t>
      </w:r>
      <w:proofErr w:type="gramEnd"/>
      <w:r w:rsidRPr="00056317">
        <w:t xml:space="preserve"> </w:t>
      </w:r>
      <w:r w:rsidRPr="00056317">
        <w:rPr>
          <w:i/>
          <w:iCs/>
        </w:rPr>
        <w:t>Art in America,</w:t>
      </w:r>
      <w:r w:rsidRPr="00056317">
        <w:t xml:space="preserve"> </w:t>
      </w:r>
      <w:r w:rsidRPr="00056317">
        <w:rPr>
          <w:i/>
        </w:rPr>
        <w:t>94</w:t>
      </w:r>
      <w:r w:rsidRPr="00056317">
        <w:t>, 189-190.</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gramStart"/>
      <w:r w:rsidRPr="00056317">
        <w:t>Kaiser, K. A., &amp; Johnson, K. E. (2000).</w:t>
      </w:r>
      <w:proofErr w:type="gramEnd"/>
      <w:r w:rsidRPr="00056317">
        <w:t xml:space="preserve"> </w:t>
      </w:r>
      <w:proofErr w:type="gramStart"/>
      <w:r w:rsidRPr="00056317">
        <w:t>The effect of an interactive experience on music majors' perceptions of music for deaf students.</w:t>
      </w:r>
      <w:proofErr w:type="gramEnd"/>
      <w:r w:rsidRPr="00056317">
        <w:t xml:space="preserve"> </w:t>
      </w:r>
      <w:r w:rsidRPr="00056317">
        <w:rPr>
          <w:i/>
          <w:iCs/>
        </w:rPr>
        <w:t>Journal of Music Therapy,</w:t>
      </w:r>
      <w:r w:rsidRPr="00056317">
        <w:t xml:space="preserve"> </w:t>
      </w:r>
      <w:r w:rsidRPr="00056317">
        <w:rPr>
          <w:i/>
        </w:rPr>
        <w:t>37</w:t>
      </w:r>
      <w:r w:rsidRPr="00056317">
        <w:t>, 222-234.</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gramStart"/>
      <w:r w:rsidRPr="00056317">
        <w:t>Katz, M. (2004).</w:t>
      </w:r>
      <w:proofErr w:type="gramEnd"/>
      <w:r w:rsidRPr="00056317">
        <w:t xml:space="preserve"> </w:t>
      </w:r>
      <w:proofErr w:type="gramStart"/>
      <w:r w:rsidRPr="00056317">
        <w:rPr>
          <w:i/>
          <w:iCs/>
        </w:rPr>
        <w:t>Capturing sound</w:t>
      </w:r>
      <w:r w:rsidRPr="00056317">
        <w:t>.</w:t>
      </w:r>
      <w:proofErr w:type="gramEnd"/>
      <w:r w:rsidRPr="00056317">
        <w:t xml:space="preserve"> Berkeley: University of California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Kimmelman</w:t>
      </w:r>
      <w:proofErr w:type="spellEnd"/>
      <w:r w:rsidRPr="00056317">
        <w:t xml:space="preserve">, M. (2001, August 31). </w:t>
      </w:r>
      <w:proofErr w:type="gramStart"/>
      <w:r w:rsidRPr="00056317">
        <w:t>Bits and pieces from the intersection where a deaf man meets the hearing.</w:t>
      </w:r>
      <w:proofErr w:type="gramEnd"/>
      <w:r w:rsidRPr="00056317">
        <w:t xml:space="preserve"> </w:t>
      </w:r>
      <w:proofErr w:type="gramStart"/>
      <w:r w:rsidRPr="00056317">
        <w:rPr>
          <w:i/>
          <w:iCs/>
        </w:rPr>
        <w:t>New York Times</w:t>
      </w:r>
      <w:r w:rsidRPr="00056317">
        <w:t>.</w:t>
      </w:r>
      <w:proofErr w:type="gramEnd"/>
      <w:r w:rsidRPr="00056317">
        <w:t xml:space="preserve">  Retrieved May 27, 2007, from http://www.nytimes.com</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proofErr w:type="gramStart"/>
      <w:r w:rsidRPr="00056317">
        <w:t>Kotaji</w:t>
      </w:r>
      <w:proofErr w:type="spellEnd"/>
      <w:r w:rsidRPr="00056317">
        <w:t>, V. (2007).</w:t>
      </w:r>
      <w:proofErr w:type="gramEnd"/>
      <w:r w:rsidRPr="00056317">
        <w:t xml:space="preserve"> </w:t>
      </w:r>
      <w:proofErr w:type="spellStart"/>
      <w:r w:rsidRPr="00056317">
        <w:t>Michèle</w:t>
      </w:r>
      <w:proofErr w:type="spellEnd"/>
      <w:r w:rsidRPr="00056317">
        <w:t xml:space="preserve"> Didier Gallery. Retrieved May 27, 2007, from www.micheledidier.com</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gramStart"/>
      <w:r w:rsidRPr="00056317">
        <w:t>Leslie and Cohan Gallery.</w:t>
      </w:r>
      <w:proofErr w:type="gramEnd"/>
      <w:r w:rsidRPr="00056317">
        <w:t xml:space="preserve"> (2007). Retrieved July 8, 2007, from http://www.cohanandleslie.com</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Mirzoeff</w:t>
      </w:r>
      <w:proofErr w:type="spellEnd"/>
      <w:r w:rsidRPr="00056317">
        <w:t xml:space="preserve">, N. (1995). </w:t>
      </w:r>
      <w:r w:rsidRPr="00056317">
        <w:rPr>
          <w:i/>
          <w:iCs/>
        </w:rPr>
        <w:t>Silent poetry: Deafness, sign, and visual culture in modern France</w:t>
      </w:r>
      <w:r w:rsidRPr="00056317">
        <w:t>. Princeton, N.J.: Princeton University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proofErr w:type="gramStart"/>
      <w:r w:rsidRPr="00056317">
        <w:t>Rigney</w:t>
      </w:r>
      <w:proofErr w:type="spellEnd"/>
      <w:r w:rsidRPr="00056317">
        <w:t>, M. (2003).</w:t>
      </w:r>
      <w:proofErr w:type="gramEnd"/>
      <w:r w:rsidRPr="00056317">
        <w:t xml:space="preserve"> </w:t>
      </w:r>
      <w:proofErr w:type="gramStart"/>
      <w:r w:rsidRPr="00056317">
        <w:rPr>
          <w:i/>
        </w:rPr>
        <w:t>Deaf side story</w:t>
      </w:r>
      <w:r w:rsidRPr="00056317">
        <w:t>.</w:t>
      </w:r>
      <w:proofErr w:type="gramEnd"/>
      <w:r w:rsidRPr="00056317">
        <w:t xml:space="preserve"> Washington, DC: Gallaudet University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r w:rsidRPr="00056317">
        <w:t xml:space="preserve">Rubinstein, R. (1996, April). </w:t>
      </w:r>
      <w:proofErr w:type="gramStart"/>
      <w:r w:rsidRPr="00056317">
        <w:t>Visual voices.</w:t>
      </w:r>
      <w:proofErr w:type="gramEnd"/>
      <w:r w:rsidRPr="00056317">
        <w:t xml:space="preserve"> </w:t>
      </w:r>
      <w:r w:rsidRPr="00056317">
        <w:rPr>
          <w:i/>
          <w:iCs/>
        </w:rPr>
        <w:t>Art in America,</w:t>
      </w:r>
      <w:r w:rsidRPr="00056317">
        <w:t xml:space="preserve"> </w:t>
      </w:r>
      <w:r w:rsidRPr="00056317">
        <w:rPr>
          <w:i/>
        </w:rPr>
        <w:t>84</w:t>
      </w:r>
      <w:r w:rsidRPr="00056317">
        <w:t>, 94-101.</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Schuchman</w:t>
      </w:r>
      <w:proofErr w:type="spellEnd"/>
      <w:r w:rsidRPr="00056317">
        <w:t xml:space="preserve">, J. S. (1988). </w:t>
      </w:r>
      <w:r w:rsidRPr="00056317">
        <w:rPr>
          <w:i/>
          <w:iCs/>
        </w:rPr>
        <w:t>Hollywood speaks: Deafness and the film entertainment industry</w:t>
      </w:r>
      <w:r w:rsidRPr="00056317">
        <w:t>. Urbana: University of Illinois Press.</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r w:rsidRPr="00056317">
        <w:t xml:space="preserve">Scott, M. (1999-2007). Joseph </w:t>
      </w:r>
      <w:proofErr w:type="spellStart"/>
      <w:r w:rsidRPr="00056317">
        <w:t>Grigely</w:t>
      </w:r>
      <w:proofErr w:type="spellEnd"/>
      <w:r w:rsidRPr="00056317">
        <w:t xml:space="preserve">: Conversations and portraits. </w:t>
      </w:r>
      <w:proofErr w:type="gramStart"/>
      <w:r w:rsidRPr="00056317">
        <w:rPr>
          <w:i/>
          <w:iCs/>
        </w:rPr>
        <w:t>CIRCA art magazine</w:t>
      </w:r>
      <w:r w:rsidRPr="00056317">
        <w:rPr>
          <w:iCs/>
        </w:rPr>
        <w:t>.</w:t>
      </w:r>
      <w:proofErr w:type="gramEnd"/>
      <w:r w:rsidRPr="00056317">
        <w:rPr>
          <w:i/>
          <w:iCs/>
        </w:rPr>
        <w:t xml:space="preserve"> </w:t>
      </w:r>
      <w:r w:rsidRPr="00056317">
        <w:t>Retrieved May 27, 2007, from http://www.recirca.com/</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pPr>
      <w:proofErr w:type="spellStart"/>
      <w:r w:rsidRPr="00056317">
        <w:t>Stoesz</w:t>
      </w:r>
      <w:proofErr w:type="spellEnd"/>
      <w:r w:rsidRPr="00056317">
        <w:t xml:space="preserve">, D. (2003, June). </w:t>
      </w:r>
      <w:proofErr w:type="gramStart"/>
      <w:r w:rsidRPr="00056317">
        <w:t>Must-see TV.</w:t>
      </w:r>
      <w:proofErr w:type="gramEnd"/>
      <w:r w:rsidRPr="00056317">
        <w:t xml:space="preserve"> </w:t>
      </w:r>
      <w:proofErr w:type="spellStart"/>
      <w:proofErr w:type="gramStart"/>
      <w:r w:rsidRPr="00056317">
        <w:rPr>
          <w:i/>
          <w:iCs/>
        </w:rPr>
        <w:t>ARTnews</w:t>
      </w:r>
      <w:proofErr w:type="spellEnd"/>
      <w:r w:rsidRPr="00056317">
        <w:rPr>
          <w:i/>
          <w:iCs/>
        </w:rPr>
        <w:t>,</w:t>
      </w:r>
      <w:r w:rsidRPr="00056317">
        <w:t xml:space="preserve"> </w:t>
      </w:r>
      <w:r w:rsidRPr="00056317">
        <w:rPr>
          <w:i/>
        </w:rPr>
        <w:t>102</w:t>
      </w:r>
      <w:r w:rsidRPr="00056317">
        <w:t>(6), 78, 80, 82.</w:t>
      </w:r>
      <w:proofErr w:type="gramEnd"/>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pStyle w:val="NormalWeb"/>
        <w:spacing w:before="0" w:beforeAutospacing="0" w:after="0" w:afterAutospacing="0"/>
        <w:ind w:left="720" w:hanging="720"/>
        <w:sectPr w:rsidR="00056317" w:rsidRPr="00056317" w:rsidSect="00056317">
          <w:endnotePr>
            <w:numFmt w:val="decimal"/>
            <w:numRestart w:val="eachSect"/>
          </w:endnotePr>
          <w:pgSz w:w="12240" w:h="15840"/>
          <w:pgMar w:top="1440" w:right="1440" w:bottom="1440" w:left="1440" w:header="720" w:footer="720" w:gutter="0"/>
          <w:cols w:space="720"/>
          <w:docGrid w:linePitch="326"/>
        </w:sectPr>
      </w:pPr>
      <w:r w:rsidRPr="00056317">
        <w:t xml:space="preserve">Williamson, A. (1999, October). </w:t>
      </w:r>
      <w:proofErr w:type="gramStart"/>
      <w:r w:rsidRPr="00056317">
        <w:t>Writing art.</w:t>
      </w:r>
      <w:proofErr w:type="gramEnd"/>
      <w:r w:rsidRPr="00056317">
        <w:t xml:space="preserve"> </w:t>
      </w:r>
      <w:r w:rsidRPr="00056317">
        <w:rPr>
          <w:i/>
          <w:iCs/>
        </w:rPr>
        <w:t>Art Monthly,</w:t>
      </w:r>
      <w:r w:rsidRPr="00056317">
        <w:t xml:space="preserve"> </w:t>
      </w:r>
      <w:r w:rsidRPr="00056317">
        <w:rPr>
          <w:i/>
        </w:rPr>
        <w:t>230</w:t>
      </w:r>
      <w:r w:rsidRPr="00056317">
        <w:t>, 13-17.</w:t>
      </w:r>
    </w:p>
    <w:p w:rsidR="00056317" w:rsidRPr="00056317" w:rsidRDefault="00056317" w:rsidP="00056317">
      <w:pPr>
        <w:pStyle w:val="NormalWeb"/>
        <w:spacing w:before="0" w:beforeAutospacing="0" w:after="0" w:afterAutospacing="0"/>
        <w:ind w:left="720" w:hanging="720"/>
      </w:pPr>
    </w:p>
    <w:p w:rsidR="00056317" w:rsidRPr="00056317" w:rsidRDefault="00056317" w:rsidP="00056317">
      <w:pPr>
        <w:jc w:val="center"/>
      </w:pPr>
      <w:bookmarkStart w:id="0" w:name="Lubet_lespaul"/>
      <w:bookmarkEnd w:id="0"/>
      <w:r w:rsidRPr="00056317">
        <w:t>Figures</w:t>
      </w:r>
    </w:p>
    <w:p w:rsidR="00056317" w:rsidRPr="00056317" w:rsidRDefault="00056317" w:rsidP="00056317">
      <w:pPr>
        <w:jc w:val="center"/>
        <w:rPr>
          <w:noProof/>
        </w:rPr>
      </w:pPr>
    </w:p>
    <w:p w:rsidR="00056317" w:rsidRPr="00056317" w:rsidRDefault="00056317" w:rsidP="00056317">
      <w:pPr>
        <w:rPr>
          <w:noProof/>
        </w:rPr>
      </w:pPr>
      <w:bookmarkStart w:id="1" w:name="MillettFig1"/>
      <w:r w:rsidRPr="00056317">
        <w:t xml:space="preserve">Fig. 1: Joseph </w:t>
      </w:r>
      <w:proofErr w:type="spellStart"/>
      <w:r w:rsidRPr="00056317">
        <w:t>Grigely</w:t>
      </w:r>
      <w:proofErr w:type="spellEnd"/>
      <w:r w:rsidRPr="00056317">
        <w:t xml:space="preserve">, </w:t>
      </w:r>
      <w:r w:rsidRPr="00056317">
        <w:rPr>
          <w:i/>
        </w:rPr>
        <w:t>Remembering is a Difficult Job but Someone Has to Do It</w:t>
      </w:r>
      <w:r w:rsidRPr="00056317">
        <w:t xml:space="preserve"> (2005)</w:t>
      </w:r>
      <w:bookmarkEnd w:id="1"/>
    </w:p>
    <w:p w:rsidR="00056317" w:rsidRPr="00056317" w:rsidRDefault="00056317" w:rsidP="00056317">
      <w:pPr>
        <w:jc w:val="center"/>
        <w:rPr>
          <w:noProof/>
        </w:rPr>
      </w:pPr>
    </w:p>
    <w:p w:rsidR="00056317" w:rsidRPr="00056317" w:rsidRDefault="00056317" w:rsidP="00056317">
      <w:pPr>
        <w:jc w:val="center"/>
      </w:pPr>
      <w:r w:rsidRPr="00056317">
        <w:rPr>
          <w:noProof/>
        </w:rPr>
        <w:drawing>
          <wp:inline distT="0" distB="0" distL="0" distR="0">
            <wp:extent cx="5715000" cy="3924300"/>
            <wp:effectExtent l="19050" t="0" r="0" b="0"/>
            <wp:docPr id="1" name="Picture 0" descr="RememberingisaDifficultJob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ememberingisaDifficultJob2005.jpg"/>
                    <pic:cNvPicPr>
                      <a:picLocks noChangeAspect="1" noChangeArrowheads="1"/>
                    </pic:cNvPicPr>
                  </pic:nvPicPr>
                  <pic:blipFill>
                    <a:blip r:embed="rId6" cstate="print"/>
                    <a:srcRect/>
                    <a:stretch>
                      <a:fillRect/>
                    </a:stretch>
                  </pic:blipFill>
                  <pic:spPr bwMode="auto">
                    <a:xfrm>
                      <a:off x="0" y="0"/>
                      <a:ext cx="5715000" cy="3924300"/>
                    </a:xfrm>
                    <a:prstGeom prst="rect">
                      <a:avLst/>
                    </a:prstGeom>
                    <a:noFill/>
                    <a:ln w="9525">
                      <a:noFill/>
                      <a:miter lim="800000"/>
                      <a:headEnd/>
                      <a:tailEnd/>
                    </a:ln>
                  </pic:spPr>
                </pic:pic>
              </a:graphicData>
            </a:graphic>
          </wp:inline>
        </w:drawing>
      </w: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r w:rsidRPr="00056317">
        <w:t xml:space="preserve">Fig. 2: Joseph </w:t>
      </w:r>
      <w:proofErr w:type="spellStart"/>
      <w:r w:rsidRPr="00056317">
        <w:t>Grigely</w:t>
      </w:r>
      <w:proofErr w:type="spellEnd"/>
      <w:r w:rsidRPr="00056317">
        <w:t xml:space="preserve">, </w:t>
      </w:r>
      <w:r w:rsidRPr="00056317">
        <w:rPr>
          <w:i/>
        </w:rPr>
        <w:t>Multiples</w:t>
      </w:r>
      <w:r w:rsidRPr="00056317">
        <w:t xml:space="preserve"> (2000)</w:t>
      </w:r>
    </w:p>
    <w:p w:rsidR="00056317" w:rsidRPr="00056317" w:rsidRDefault="00056317" w:rsidP="00056317">
      <w:pPr>
        <w:jc w:val="center"/>
      </w:pPr>
    </w:p>
    <w:p w:rsidR="00056317" w:rsidRPr="00056317" w:rsidRDefault="00056317" w:rsidP="00056317">
      <w:pPr>
        <w:jc w:val="center"/>
      </w:pPr>
      <w:r w:rsidRPr="00056317">
        <w:rPr>
          <w:noProof/>
        </w:rPr>
        <w:lastRenderedPageBreak/>
        <w:drawing>
          <wp:inline distT="0" distB="0" distL="0" distR="0">
            <wp:extent cx="5429250" cy="4981575"/>
            <wp:effectExtent l="19050" t="0" r="0" b="0"/>
            <wp:docPr id="2" name="Picture 2" descr="Multiples2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ples2000.01.1.jpg"/>
                    <pic:cNvPicPr>
                      <a:picLocks noChangeAspect="1" noChangeArrowheads="1"/>
                    </pic:cNvPicPr>
                  </pic:nvPicPr>
                  <pic:blipFill>
                    <a:blip r:embed="rId7" cstate="print"/>
                    <a:srcRect/>
                    <a:stretch>
                      <a:fillRect/>
                    </a:stretch>
                  </pic:blipFill>
                  <pic:spPr bwMode="auto">
                    <a:xfrm>
                      <a:off x="0" y="0"/>
                      <a:ext cx="5429250" cy="4981575"/>
                    </a:xfrm>
                    <a:prstGeom prst="rect">
                      <a:avLst/>
                    </a:prstGeom>
                    <a:noFill/>
                    <a:ln w="9525">
                      <a:noFill/>
                      <a:miter lim="800000"/>
                      <a:headEnd/>
                      <a:tailEnd/>
                    </a:ln>
                  </pic:spPr>
                </pic:pic>
              </a:graphicData>
            </a:graphic>
          </wp:inline>
        </w:drawing>
      </w:r>
    </w:p>
    <w:p w:rsidR="00056317" w:rsidRPr="00056317" w:rsidRDefault="00056317" w:rsidP="00056317">
      <w:pPr>
        <w:jc w:val="center"/>
      </w:pPr>
      <w:bookmarkStart w:id="2" w:name="MillettFig2"/>
    </w:p>
    <w:bookmarkEnd w:id="2"/>
    <w:p w:rsidR="00056317" w:rsidRPr="00056317" w:rsidRDefault="00056317" w:rsidP="00056317"/>
    <w:p w:rsidR="00056317" w:rsidRPr="00056317" w:rsidRDefault="00056317" w:rsidP="00056317"/>
    <w:p w:rsidR="00056317" w:rsidRPr="00056317" w:rsidRDefault="00056317" w:rsidP="00056317"/>
    <w:p w:rsidR="00056317" w:rsidRPr="00056317" w:rsidRDefault="00056317" w:rsidP="00056317"/>
    <w:p w:rsidR="00056317" w:rsidRPr="00056317" w:rsidRDefault="00056317" w:rsidP="00056317"/>
    <w:p w:rsidR="00056317" w:rsidRPr="00056317" w:rsidRDefault="00056317" w:rsidP="00056317"/>
    <w:p w:rsidR="00056317" w:rsidRPr="00056317" w:rsidRDefault="00056317" w:rsidP="00056317"/>
    <w:p w:rsidR="00056317" w:rsidRPr="00056317" w:rsidRDefault="00056317" w:rsidP="00056317"/>
    <w:p w:rsidR="00056317" w:rsidRPr="00056317" w:rsidRDefault="00056317" w:rsidP="00056317">
      <w:r w:rsidRPr="00056317">
        <w:t xml:space="preserve">Fig. 3: Joseph </w:t>
      </w:r>
      <w:proofErr w:type="spellStart"/>
      <w:r w:rsidRPr="00056317">
        <w:t>Grigely</w:t>
      </w:r>
      <w:proofErr w:type="spellEnd"/>
      <w:r w:rsidRPr="00056317">
        <w:t xml:space="preserve">, </w:t>
      </w:r>
      <w:r w:rsidRPr="00056317">
        <w:rPr>
          <w:i/>
        </w:rPr>
        <w:t xml:space="preserve">223 Conversations </w:t>
      </w:r>
      <w:r w:rsidRPr="00056317">
        <w:t>(2005)</w:t>
      </w:r>
    </w:p>
    <w:p w:rsidR="00056317" w:rsidRPr="00056317" w:rsidRDefault="00056317" w:rsidP="00056317">
      <w:pPr>
        <w:jc w:val="center"/>
      </w:pPr>
      <w:r w:rsidRPr="00056317">
        <w:rPr>
          <w:noProof/>
        </w:rPr>
        <w:lastRenderedPageBreak/>
        <w:drawing>
          <wp:inline distT="0" distB="0" distL="0" distR="0">
            <wp:extent cx="5715000" cy="3533775"/>
            <wp:effectExtent l="19050" t="0" r="0" b="0"/>
            <wp:docPr id="3" name="Picture 3" descr="223Conversations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3Conversations2005.jpg"/>
                    <pic:cNvPicPr>
                      <a:picLocks noChangeAspect="1" noChangeArrowheads="1"/>
                    </pic:cNvPicPr>
                  </pic:nvPicPr>
                  <pic:blipFill>
                    <a:blip r:embed="rId8" cstate="print"/>
                    <a:srcRect/>
                    <a:stretch>
                      <a:fillRect/>
                    </a:stretch>
                  </pic:blipFill>
                  <pic:spPr bwMode="auto">
                    <a:xfrm>
                      <a:off x="0" y="0"/>
                      <a:ext cx="5715000" cy="3533775"/>
                    </a:xfrm>
                    <a:prstGeom prst="rect">
                      <a:avLst/>
                    </a:prstGeom>
                    <a:noFill/>
                    <a:ln w="9525">
                      <a:noFill/>
                      <a:miter lim="800000"/>
                      <a:headEnd/>
                      <a:tailEnd/>
                    </a:ln>
                  </pic:spPr>
                </pic:pic>
              </a:graphicData>
            </a:graphic>
          </wp:inline>
        </w:drawing>
      </w: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bookmarkStart w:id="3" w:name="MillettFig3"/>
    </w:p>
    <w:p w:rsidR="00056317" w:rsidRPr="00056317" w:rsidRDefault="00056317" w:rsidP="00056317">
      <w:bookmarkStart w:id="4" w:name="MillettFig4"/>
      <w:bookmarkEnd w:id="3"/>
      <w:r w:rsidRPr="00056317">
        <w:t xml:space="preserve">Fig. 4: Joseph </w:t>
      </w:r>
      <w:proofErr w:type="spellStart"/>
      <w:r w:rsidRPr="00056317">
        <w:t>Grigely</w:t>
      </w:r>
      <w:proofErr w:type="spellEnd"/>
      <w:r w:rsidRPr="00056317">
        <w:t xml:space="preserve">, image of a </w:t>
      </w:r>
      <w:proofErr w:type="spellStart"/>
      <w:r w:rsidRPr="00056317">
        <w:t>Canello</w:t>
      </w:r>
      <w:proofErr w:type="spellEnd"/>
      <w:r w:rsidRPr="00056317">
        <w:t xml:space="preserve"> painting from </w:t>
      </w:r>
      <w:proofErr w:type="spellStart"/>
      <w:r w:rsidRPr="00056317">
        <w:rPr>
          <w:i/>
        </w:rPr>
        <w:t>Vox</w:t>
      </w:r>
      <w:proofErr w:type="spellEnd"/>
      <w:r w:rsidRPr="00056317">
        <w:rPr>
          <w:i/>
        </w:rPr>
        <w:t xml:space="preserve"> </w:t>
      </w:r>
      <w:proofErr w:type="spellStart"/>
      <w:r w:rsidRPr="00056317">
        <w:rPr>
          <w:i/>
        </w:rPr>
        <w:t>Populi</w:t>
      </w:r>
      <w:proofErr w:type="spellEnd"/>
      <w:r w:rsidRPr="00056317">
        <w:t xml:space="preserve"> (2003)</w:t>
      </w:r>
      <w:bookmarkEnd w:id="4"/>
    </w:p>
    <w:p w:rsidR="00056317" w:rsidRPr="00056317" w:rsidRDefault="00056317" w:rsidP="00056317">
      <w:pPr>
        <w:jc w:val="center"/>
      </w:pPr>
    </w:p>
    <w:p w:rsidR="00056317" w:rsidRPr="00056317" w:rsidRDefault="00056317" w:rsidP="00056317">
      <w:pPr>
        <w:jc w:val="center"/>
      </w:pPr>
      <w:r w:rsidRPr="00056317">
        <w:rPr>
          <w:noProof/>
        </w:rPr>
        <w:drawing>
          <wp:inline distT="0" distB="0" distL="0" distR="0">
            <wp:extent cx="2181225" cy="2952750"/>
            <wp:effectExtent l="19050" t="0" r="9525" b="0"/>
            <wp:docPr id="4" name="Picture 4" descr="Vox populi 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x populi 2003.jpg"/>
                    <pic:cNvPicPr>
                      <a:picLocks noChangeAspect="1" noChangeArrowheads="1"/>
                    </pic:cNvPicPr>
                  </pic:nvPicPr>
                  <pic:blipFill>
                    <a:blip r:embed="rId9" cstate="print"/>
                    <a:srcRect/>
                    <a:stretch>
                      <a:fillRect/>
                    </a:stretch>
                  </pic:blipFill>
                  <pic:spPr bwMode="auto">
                    <a:xfrm>
                      <a:off x="0" y="0"/>
                      <a:ext cx="2181225" cy="2952750"/>
                    </a:xfrm>
                    <a:prstGeom prst="rect">
                      <a:avLst/>
                    </a:prstGeom>
                    <a:noFill/>
                    <a:ln w="9525">
                      <a:noFill/>
                      <a:miter lim="800000"/>
                      <a:headEnd/>
                      <a:tailEnd/>
                    </a:ln>
                  </pic:spPr>
                </pic:pic>
              </a:graphicData>
            </a:graphic>
          </wp:inline>
        </w:drawing>
      </w: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bookmarkStart w:id="5" w:name="MillettFig5"/>
      <w:r w:rsidRPr="00056317">
        <w:t xml:space="preserve">Fig. 5: Joseph </w:t>
      </w:r>
      <w:proofErr w:type="spellStart"/>
      <w:r w:rsidRPr="00056317">
        <w:t>Grigely</w:t>
      </w:r>
      <w:proofErr w:type="spellEnd"/>
      <w:r w:rsidRPr="00056317">
        <w:t xml:space="preserve">, </w:t>
      </w:r>
      <w:r w:rsidRPr="00056317">
        <w:rPr>
          <w:rStyle w:val="txtnoir"/>
          <w:i/>
          <w:iCs/>
        </w:rPr>
        <w:t xml:space="preserve">Dog from Canaletto’s Riva </w:t>
      </w:r>
      <w:proofErr w:type="spellStart"/>
      <w:r w:rsidRPr="00056317">
        <w:rPr>
          <w:rStyle w:val="txtnoir"/>
          <w:i/>
          <w:iCs/>
        </w:rPr>
        <w:t>Degli</w:t>
      </w:r>
      <w:proofErr w:type="spellEnd"/>
      <w:r w:rsidRPr="00056317">
        <w:rPr>
          <w:rStyle w:val="txtnoir"/>
          <w:i/>
          <w:iCs/>
        </w:rPr>
        <w:t xml:space="preserve"> </w:t>
      </w:r>
      <w:proofErr w:type="spellStart"/>
      <w:r w:rsidRPr="00056317">
        <w:rPr>
          <w:rStyle w:val="txtnoir"/>
          <w:i/>
          <w:iCs/>
        </w:rPr>
        <w:t>Schiavoni</w:t>
      </w:r>
      <w:proofErr w:type="spellEnd"/>
      <w:r w:rsidRPr="00056317">
        <w:rPr>
          <w:rStyle w:val="txtnoir"/>
        </w:rPr>
        <w:t xml:space="preserve"> </w:t>
      </w:r>
      <w:r w:rsidRPr="00056317">
        <w:t>(2003)</w:t>
      </w:r>
      <w:bookmarkEnd w:id="5"/>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r w:rsidRPr="00056317">
        <w:rPr>
          <w:noProof/>
        </w:rPr>
        <w:drawing>
          <wp:inline distT="0" distB="0" distL="0" distR="0">
            <wp:extent cx="3095625" cy="2657475"/>
            <wp:effectExtent l="19050" t="0" r="9525" b="0"/>
            <wp:docPr id="5" name="Picture 5" descr="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g.jpg"/>
                    <pic:cNvPicPr>
                      <a:picLocks noChangeAspect="1" noChangeArrowheads="1"/>
                    </pic:cNvPicPr>
                  </pic:nvPicPr>
                  <pic:blipFill>
                    <a:blip r:embed="rId10" cstate="print"/>
                    <a:srcRect/>
                    <a:stretch>
                      <a:fillRect/>
                    </a:stretch>
                  </pic:blipFill>
                  <pic:spPr bwMode="auto">
                    <a:xfrm>
                      <a:off x="0" y="0"/>
                      <a:ext cx="3095625" cy="2657475"/>
                    </a:xfrm>
                    <a:prstGeom prst="rect">
                      <a:avLst/>
                    </a:prstGeom>
                    <a:noFill/>
                    <a:ln w="9525">
                      <a:noFill/>
                      <a:miter lim="800000"/>
                      <a:headEnd/>
                      <a:tailEnd/>
                    </a:ln>
                  </pic:spPr>
                </pic:pic>
              </a:graphicData>
            </a:graphic>
          </wp:inline>
        </w:drawing>
      </w:r>
    </w:p>
    <w:p w:rsidR="00056317" w:rsidRPr="00056317" w:rsidRDefault="00056317" w:rsidP="00056317">
      <w:pPr>
        <w:jc w:val="center"/>
      </w:pPr>
    </w:p>
    <w:p w:rsidR="00056317" w:rsidRPr="00056317" w:rsidRDefault="00056317" w:rsidP="00056317">
      <w:pPr>
        <w:jc w:val="center"/>
      </w:pPr>
    </w:p>
    <w:p w:rsidR="00056317" w:rsidRPr="00056317" w:rsidRDefault="00056317" w:rsidP="00056317">
      <w:bookmarkStart w:id="6" w:name="MillettFig6"/>
      <w:r w:rsidRPr="00056317">
        <w:t xml:space="preserve">Fig. 6: Joseph </w:t>
      </w:r>
      <w:proofErr w:type="spellStart"/>
      <w:r w:rsidRPr="00056317">
        <w:t>Grigely</w:t>
      </w:r>
      <w:proofErr w:type="spellEnd"/>
      <w:r w:rsidRPr="00056317">
        <w:t>,</w:t>
      </w:r>
      <w:r w:rsidRPr="00056317">
        <w:rPr>
          <w:i/>
        </w:rPr>
        <w:t xml:space="preserve"> Blueberry Surprise </w:t>
      </w:r>
      <w:r w:rsidRPr="00056317">
        <w:t>(2003</w:t>
      </w:r>
      <w:bookmarkEnd w:id="6"/>
      <w:r w:rsidRPr="00056317">
        <w:t>)</w:t>
      </w:r>
    </w:p>
    <w:p w:rsidR="00056317" w:rsidRPr="00056317" w:rsidRDefault="00056317" w:rsidP="00056317">
      <w:pPr>
        <w:jc w:val="center"/>
      </w:pPr>
    </w:p>
    <w:p w:rsidR="00056317" w:rsidRPr="00056317" w:rsidRDefault="00056317" w:rsidP="00056317">
      <w:pPr>
        <w:jc w:val="center"/>
      </w:pPr>
      <w:r w:rsidRPr="00056317">
        <w:rPr>
          <w:noProof/>
        </w:rPr>
        <w:drawing>
          <wp:inline distT="0" distB="0" distL="0" distR="0">
            <wp:extent cx="2257425" cy="2952750"/>
            <wp:effectExtent l="19050" t="0" r="9525" b="0"/>
            <wp:docPr id="6" name="Picture 6" descr="BlueberrySurprise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berrySurprise2003.jpg"/>
                    <pic:cNvPicPr>
                      <a:picLocks noChangeAspect="1" noChangeArrowheads="1"/>
                    </pic:cNvPicPr>
                  </pic:nvPicPr>
                  <pic:blipFill>
                    <a:blip r:embed="rId11" cstate="print"/>
                    <a:srcRect/>
                    <a:stretch>
                      <a:fillRect/>
                    </a:stretch>
                  </pic:blipFill>
                  <pic:spPr bwMode="auto">
                    <a:xfrm>
                      <a:off x="0" y="0"/>
                      <a:ext cx="2257425" cy="2952750"/>
                    </a:xfrm>
                    <a:prstGeom prst="rect">
                      <a:avLst/>
                    </a:prstGeom>
                    <a:noFill/>
                    <a:ln w="9525">
                      <a:noFill/>
                      <a:miter lim="800000"/>
                      <a:headEnd/>
                      <a:tailEnd/>
                    </a:ln>
                  </pic:spPr>
                </pic:pic>
              </a:graphicData>
            </a:graphic>
          </wp:inline>
        </w:drawing>
      </w: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Pr>
        <w:jc w:val="center"/>
      </w:pPr>
    </w:p>
    <w:p w:rsidR="00056317" w:rsidRPr="00056317" w:rsidRDefault="00056317" w:rsidP="00056317"/>
    <w:p w:rsidR="00056317" w:rsidRPr="00056317" w:rsidRDefault="00056317" w:rsidP="00056317">
      <w:bookmarkStart w:id="7" w:name="MillettFig7"/>
      <w:r w:rsidRPr="00056317">
        <w:t xml:space="preserve">Fig. 7: Joseph </w:t>
      </w:r>
      <w:proofErr w:type="spellStart"/>
      <w:r w:rsidRPr="00056317">
        <w:t>Grigely</w:t>
      </w:r>
      <w:proofErr w:type="spellEnd"/>
      <w:r w:rsidRPr="00056317">
        <w:t xml:space="preserve">, detail from </w:t>
      </w:r>
      <w:r w:rsidRPr="00056317">
        <w:rPr>
          <w:i/>
        </w:rPr>
        <w:t xml:space="preserve">Blueberry Surprise </w:t>
      </w:r>
      <w:r w:rsidRPr="00056317">
        <w:t>(2003)</w:t>
      </w:r>
    </w:p>
    <w:bookmarkEnd w:id="7"/>
    <w:p w:rsidR="00056317" w:rsidRPr="008643E0" w:rsidRDefault="00056317" w:rsidP="00056317">
      <w:pPr>
        <w:jc w:val="center"/>
      </w:pPr>
      <w:r w:rsidRPr="00056317">
        <w:rPr>
          <w:noProof/>
        </w:rPr>
        <w:lastRenderedPageBreak/>
        <w:drawing>
          <wp:inline distT="0" distB="0" distL="0" distR="0">
            <wp:extent cx="5372100" cy="4038600"/>
            <wp:effectExtent l="19050" t="0" r="0" b="0"/>
            <wp:docPr id="7" name="Picture 7" descr="Blueberry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berrydetail.jpg"/>
                    <pic:cNvPicPr>
                      <a:picLocks noChangeAspect="1" noChangeArrowheads="1"/>
                    </pic:cNvPicPr>
                  </pic:nvPicPr>
                  <pic:blipFill>
                    <a:blip r:embed="rId12" cstate="print"/>
                    <a:srcRect/>
                    <a:stretch>
                      <a:fillRect/>
                    </a:stretch>
                  </pic:blipFill>
                  <pic:spPr bwMode="auto">
                    <a:xfrm>
                      <a:off x="0" y="0"/>
                      <a:ext cx="5372100" cy="4038600"/>
                    </a:xfrm>
                    <a:prstGeom prst="rect">
                      <a:avLst/>
                    </a:prstGeom>
                    <a:noFill/>
                    <a:ln w="9525">
                      <a:noFill/>
                      <a:miter lim="800000"/>
                      <a:headEnd/>
                      <a:tailEnd/>
                    </a:ln>
                  </pic:spPr>
                </pic:pic>
              </a:graphicData>
            </a:graphic>
          </wp:inline>
        </w:drawing>
      </w:r>
    </w:p>
    <w:p w:rsidR="00056317" w:rsidRDefault="00056317" w:rsidP="00056317">
      <w:pPr>
        <w:rPr>
          <w:b/>
        </w:rPr>
      </w:pPr>
    </w:p>
    <w:p w:rsidR="00056317" w:rsidRDefault="00056317" w:rsidP="00056317">
      <w:pPr>
        <w:rPr>
          <w:b/>
        </w:rPr>
      </w:pPr>
    </w:p>
    <w:p w:rsidR="00056317" w:rsidRDefault="00056317" w:rsidP="00056317">
      <w:pPr>
        <w:jc w:val="center"/>
      </w:pPr>
      <w:r w:rsidRPr="00056317">
        <w:t>Endnotes</w:t>
      </w:r>
    </w:p>
    <w:p w:rsidR="00056317" w:rsidRPr="00056317" w:rsidRDefault="00056317" w:rsidP="00056317">
      <w:pPr>
        <w:jc w:val="center"/>
      </w:pPr>
    </w:p>
    <w:p w:rsidR="00056317" w:rsidRPr="00056317" w:rsidRDefault="00056317" w:rsidP="00056317">
      <w:pPr>
        <w:rPr>
          <w:color w:val="000000"/>
          <w:sz w:val="20"/>
          <w:szCs w:val="20"/>
        </w:rPr>
      </w:pPr>
      <w:r w:rsidRPr="00056317">
        <w:rPr>
          <w:sz w:val="20"/>
          <w:szCs w:val="20"/>
          <w:vertAlign w:val="superscript"/>
        </w:rPr>
        <w:t xml:space="preserve">1 </w:t>
      </w:r>
      <w:r w:rsidRPr="00056317">
        <w:rPr>
          <w:sz w:val="20"/>
          <w:szCs w:val="20"/>
        </w:rPr>
        <w:t xml:space="preserve">These phrases from </w:t>
      </w:r>
      <w:proofErr w:type="spellStart"/>
      <w:r w:rsidRPr="00056317">
        <w:rPr>
          <w:sz w:val="20"/>
          <w:szCs w:val="20"/>
        </w:rPr>
        <w:t>Grigely’s</w:t>
      </w:r>
      <w:proofErr w:type="spellEnd"/>
      <w:r w:rsidRPr="00056317">
        <w:rPr>
          <w:sz w:val="20"/>
          <w:szCs w:val="20"/>
        </w:rPr>
        <w:t xml:space="preserve"> work are quoted in </w:t>
      </w:r>
      <w:r w:rsidRPr="00056317">
        <w:rPr>
          <w:color w:val="000000"/>
          <w:sz w:val="20"/>
          <w:szCs w:val="20"/>
        </w:rPr>
        <w:t>Scott, 1999.</w:t>
      </w:r>
    </w:p>
    <w:p w:rsidR="00056317" w:rsidRPr="00056317" w:rsidRDefault="00056317" w:rsidP="00056317">
      <w:pPr>
        <w:pStyle w:val="EndnoteText"/>
      </w:pPr>
      <w:r w:rsidRPr="00056317">
        <w:rPr>
          <w:vertAlign w:val="superscript"/>
        </w:rPr>
        <w:t xml:space="preserve">2 </w:t>
      </w:r>
      <w:r w:rsidRPr="00056317">
        <w:rPr>
          <w:rFonts w:ascii="Times New Roman" w:hAnsi="Times New Roman"/>
          <w:i/>
        </w:rPr>
        <w:t>St Cecelia</w:t>
      </w:r>
      <w:r w:rsidRPr="00056317">
        <w:rPr>
          <w:rFonts w:ascii="Times New Roman" w:hAnsi="Times New Roman"/>
        </w:rPr>
        <w:t xml:space="preserve"> will be exhibited May 5-August 19 at The Contemporary Gallery in Baltimore, MD.</w:t>
      </w:r>
    </w:p>
    <w:p w:rsidR="00477C51" w:rsidRDefault="00056317" w:rsidP="00056317"/>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317" w:rsidRDefault="00056317" w:rsidP="00056317">
      <w:r>
        <w:separator/>
      </w:r>
    </w:p>
  </w:endnote>
  <w:endnote w:type="continuationSeparator" w:id="0">
    <w:p w:rsidR="00056317" w:rsidRDefault="00056317" w:rsidP="00056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317" w:rsidRDefault="00056317" w:rsidP="00056317">
      <w:r>
        <w:separator/>
      </w:r>
    </w:p>
  </w:footnote>
  <w:footnote w:type="continuationSeparator" w:id="0">
    <w:p w:rsidR="00056317" w:rsidRDefault="00056317" w:rsidP="00056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056317"/>
    <w:rsid w:val="00056317"/>
    <w:rsid w:val="005679FA"/>
    <w:rsid w:val="0057039B"/>
    <w:rsid w:val="006213E4"/>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1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056317"/>
    <w:rPr>
      <w:color w:val="0000FF"/>
      <w:u w:val="single"/>
    </w:rPr>
  </w:style>
  <w:style w:type="character" w:styleId="EndnoteReference">
    <w:name w:val="endnote reference"/>
    <w:basedOn w:val="DefaultParagraphFont"/>
    <w:semiHidden/>
    <w:rsid w:val="00056317"/>
    <w:rPr>
      <w:vertAlign w:val="superscript"/>
    </w:rPr>
  </w:style>
  <w:style w:type="paragraph" w:styleId="EndnoteText">
    <w:name w:val="endnote text"/>
    <w:basedOn w:val="Normal"/>
    <w:link w:val="EndnoteTextChar"/>
    <w:semiHidden/>
    <w:rsid w:val="00056317"/>
    <w:rPr>
      <w:rFonts w:ascii="Arial" w:hAnsi="Arial"/>
      <w:sz w:val="20"/>
      <w:szCs w:val="20"/>
      <w:lang w:val="en-GB"/>
    </w:rPr>
  </w:style>
  <w:style w:type="character" w:customStyle="1" w:styleId="EndnoteTextChar">
    <w:name w:val="Endnote Text Char"/>
    <w:basedOn w:val="DefaultParagraphFont"/>
    <w:link w:val="EndnoteText"/>
    <w:semiHidden/>
    <w:rsid w:val="00056317"/>
    <w:rPr>
      <w:rFonts w:ascii="Arial" w:eastAsia="Times New Roman" w:hAnsi="Arial" w:cs="Times New Roman"/>
      <w:sz w:val="20"/>
      <w:szCs w:val="20"/>
      <w:lang w:val="en-GB" w:bidi="ar-SA"/>
    </w:rPr>
  </w:style>
  <w:style w:type="paragraph" w:styleId="NormalWeb">
    <w:name w:val="Normal (Web)"/>
    <w:basedOn w:val="Normal"/>
    <w:rsid w:val="00056317"/>
    <w:pPr>
      <w:spacing w:before="100" w:beforeAutospacing="1" w:after="100" w:afterAutospacing="1"/>
    </w:pPr>
  </w:style>
  <w:style w:type="character" w:customStyle="1" w:styleId="txtnoir">
    <w:name w:val="txtnoir"/>
    <w:basedOn w:val="DefaultParagraphFont"/>
    <w:rsid w:val="00056317"/>
  </w:style>
  <w:style w:type="paragraph" w:styleId="BalloonText">
    <w:name w:val="Balloon Text"/>
    <w:basedOn w:val="Normal"/>
    <w:link w:val="BalloonTextChar"/>
    <w:uiPriority w:val="99"/>
    <w:semiHidden/>
    <w:unhideWhenUsed/>
    <w:rsid w:val="00056317"/>
    <w:rPr>
      <w:rFonts w:ascii="Tahoma" w:hAnsi="Tahoma" w:cs="Tahoma"/>
      <w:sz w:val="16"/>
      <w:szCs w:val="16"/>
    </w:rPr>
  </w:style>
  <w:style w:type="character" w:customStyle="1" w:styleId="BalloonTextChar">
    <w:name w:val="Balloon Text Char"/>
    <w:basedOn w:val="DefaultParagraphFont"/>
    <w:link w:val="BalloonText"/>
    <w:uiPriority w:val="99"/>
    <w:semiHidden/>
    <w:rsid w:val="00056317"/>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4977</Words>
  <Characters>28373</Characters>
  <Application>Microsoft Office Word</Application>
  <DocSecurity>0</DocSecurity>
  <Lines>236</Lines>
  <Paragraphs>66</Paragraphs>
  <ScaleCrop>false</ScaleCrop>
  <Company/>
  <LinksUpToDate>false</LinksUpToDate>
  <CharactersWithSpaces>33284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2014-11-28T20:03:00Z</dcterms:created>
  <dcterms:modified xsi:type="dcterms:W3CDTF">2014-11-28T20:05:00Z</dcterms:modified>
</cp:coreProperties>
</file>