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78" w:rsidRDefault="00837178" w:rsidP="00EE5AE2">
      <w:pPr>
        <w:spacing w:line="240" w:lineRule="auto"/>
        <w:ind w:firstLine="0"/>
        <w:jc w:val="center"/>
        <w:rPr>
          <w:sz w:val="24"/>
          <w:szCs w:val="24"/>
        </w:rPr>
      </w:pPr>
      <w:r w:rsidRPr="006B280E">
        <w:rPr>
          <w:sz w:val="24"/>
          <w:szCs w:val="24"/>
        </w:rPr>
        <w:t>The Intersection of Gender and Disability: An International Perspective</w:t>
      </w:r>
    </w:p>
    <w:p w:rsidR="00EE5AE2" w:rsidRDefault="00EE5AE2" w:rsidP="00EE5AE2">
      <w:pPr>
        <w:autoSpaceDE w:val="0"/>
        <w:autoSpaceDN w:val="0"/>
        <w:adjustRightInd w:val="0"/>
        <w:spacing w:line="240" w:lineRule="auto"/>
        <w:ind w:firstLine="0"/>
        <w:jc w:val="center"/>
        <w:rPr>
          <w:sz w:val="24"/>
          <w:szCs w:val="24"/>
        </w:rPr>
      </w:pPr>
      <w:r w:rsidRPr="00592A03">
        <w:rPr>
          <w:sz w:val="24"/>
          <w:szCs w:val="24"/>
        </w:rPr>
        <w:t>Allen N</w:t>
      </w:r>
      <w:r>
        <w:rPr>
          <w:sz w:val="24"/>
          <w:szCs w:val="24"/>
        </w:rPr>
        <w:t>.</w:t>
      </w:r>
      <w:r w:rsidRPr="00592A03">
        <w:rPr>
          <w:sz w:val="24"/>
          <w:szCs w:val="24"/>
        </w:rPr>
        <w:t xml:space="preserve"> Lewis</w:t>
      </w:r>
      <w:r>
        <w:rPr>
          <w:sz w:val="24"/>
          <w:szCs w:val="24"/>
        </w:rPr>
        <w:t xml:space="preserve"> &amp; </w:t>
      </w:r>
      <w:r w:rsidRPr="00592A03">
        <w:rPr>
          <w:sz w:val="24"/>
          <w:szCs w:val="24"/>
        </w:rPr>
        <w:t>Amy J</w:t>
      </w:r>
      <w:r>
        <w:rPr>
          <w:sz w:val="24"/>
          <w:szCs w:val="24"/>
        </w:rPr>
        <w:t>.</w:t>
      </w:r>
      <w:r w:rsidRPr="00592A03">
        <w:rPr>
          <w:sz w:val="24"/>
          <w:szCs w:val="24"/>
        </w:rPr>
        <w:t xml:space="preserve"> Armstrong</w:t>
      </w:r>
      <w:r>
        <w:rPr>
          <w:sz w:val="24"/>
          <w:szCs w:val="24"/>
        </w:rPr>
        <w:t xml:space="preserve">, </w:t>
      </w:r>
    </w:p>
    <w:p w:rsidR="00EE5AE2" w:rsidRDefault="00EE5AE2" w:rsidP="00EE5AE2">
      <w:pPr>
        <w:autoSpaceDE w:val="0"/>
        <w:autoSpaceDN w:val="0"/>
        <w:adjustRightInd w:val="0"/>
        <w:spacing w:line="240" w:lineRule="auto"/>
        <w:ind w:firstLine="0"/>
        <w:jc w:val="center"/>
        <w:rPr>
          <w:sz w:val="24"/>
          <w:szCs w:val="24"/>
        </w:rPr>
      </w:pPr>
      <w:r w:rsidRPr="00592A03">
        <w:rPr>
          <w:sz w:val="24"/>
          <w:szCs w:val="24"/>
        </w:rPr>
        <w:t>Virginia Commonwealth University</w:t>
      </w:r>
      <w:r>
        <w:rPr>
          <w:sz w:val="24"/>
          <w:szCs w:val="24"/>
        </w:rPr>
        <w:t>,</w:t>
      </w:r>
      <w:r w:rsidRPr="00592A03">
        <w:rPr>
          <w:color w:val="000000"/>
          <w:sz w:val="24"/>
          <w:szCs w:val="24"/>
        </w:rPr>
        <w:t xml:space="preserve"> </w:t>
      </w:r>
      <w:r>
        <w:rPr>
          <w:color w:val="000000"/>
          <w:sz w:val="24"/>
          <w:szCs w:val="24"/>
        </w:rPr>
        <w:t>USA</w:t>
      </w:r>
    </w:p>
    <w:p w:rsidR="00837178" w:rsidRPr="006B280E" w:rsidRDefault="00837178" w:rsidP="00837178">
      <w:pPr>
        <w:spacing w:line="240" w:lineRule="auto"/>
        <w:ind w:firstLine="0"/>
        <w:rPr>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r w:rsidRPr="006B280E">
        <w:rPr>
          <w:color w:val="1A1818"/>
          <w:sz w:val="24"/>
          <w:szCs w:val="24"/>
        </w:rPr>
        <w:t>Dear Readers:</w:t>
      </w: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 xml:space="preserve">We would like to welcome you to this special issue of the Review of Disability Studies. This issue focuses upon the intersection of gender and disability within a global perspective. Existing research tells us that disability often presents challenges and barriers to integration and quality of life. The social model of disability (Corker &amp; French, 1999; Shakespeare 2006) assumes that disability is not inherent in the person, but is constructed by society in its failure to provide people with access and treat them with the same respect afforded persons without disabilities. </w:t>
      </w: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We have somewhat limited research on the intersection of gender and disability. How does the intersection of these demographics impact the experience of individuals? Does the intersection of gender and disability serve to further marginalize individuals?  What we do know is that gender often creates challenges and barriers to accessing health care, education</w:t>
      </w:r>
      <w:r>
        <w:rPr>
          <w:color w:val="1A1818"/>
          <w:sz w:val="24"/>
          <w:szCs w:val="24"/>
        </w:rPr>
        <w:t>,</w:t>
      </w:r>
      <w:r w:rsidRPr="006B280E">
        <w:rPr>
          <w:color w:val="1A1818"/>
          <w:sz w:val="24"/>
          <w:szCs w:val="24"/>
        </w:rPr>
        <w:t xml:space="preserve"> and employment services and supports, potentially impacting community integration (</w:t>
      </w:r>
      <w:proofErr w:type="spellStart"/>
      <w:r w:rsidRPr="006B280E">
        <w:rPr>
          <w:color w:val="1A1818"/>
          <w:sz w:val="24"/>
          <w:szCs w:val="24"/>
        </w:rPr>
        <w:t>Gerschick</w:t>
      </w:r>
      <w:proofErr w:type="spellEnd"/>
      <w:r w:rsidRPr="006B280E">
        <w:rPr>
          <w:color w:val="1A1818"/>
          <w:sz w:val="24"/>
          <w:szCs w:val="24"/>
        </w:rPr>
        <w:t xml:space="preserve">, 2000; </w:t>
      </w:r>
      <w:proofErr w:type="spellStart"/>
      <w:r w:rsidRPr="006B280E">
        <w:rPr>
          <w:color w:val="1A1818"/>
          <w:sz w:val="24"/>
          <w:szCs w:val="24"/>
        </w:rPr>
        <w:t>Nosek</w:t>
      </w:r>
      <w:proofErr w:type="spellEnd"/>
      <w:r w:rsidRPr="006B280E">
        <w:rPr>
          <w:color w:val="1A1818"/>
          <w:sz w:val="24"/>
          <w:szCs w:val="24"/>
        </w:rPr>
        <w:t xml:space="preserve">, </w:t>
      </w:r>
      <w:proofErr w:type="spellStart"/>
      <w:r w:rsidRPr="006B280E">
        <w:rPr>
          <w:color w:val="1A1818"/>
          <w:sz w:val="24"/>
          <w:szCs w:val="24"/>
        </w:rPr>
        <w:t>Grabois</w:t>
      </w:r>
      <w:proofErr w:type="spellEnd"/>
      <w:r w:rsidRPr="006B280E">
        <w:rPr>
          <w:color w:val="1A1818"/>
          <w:sz w:val="24"/>
          <w:szCs w:val="24"/>
        </w:rPr>
        <w:t>, &amp; Howland, 1992). In terms of employment, women with disabilities are less</w:t>
      </w:r>
      <w:r>
        <w:rPr>
          <w:color w:val="1A1818"/>
          <w:sz w:val="24"/>
          <w:szCs w:val="24"/>
        </w:rPr>
        <w:t xml:space="preserve"> likely than men to be employed</w:t>
      </w:r>
      <w:r w:rsidRPr="006B280E">
        <w:rPr>
          <w:color w:val="1A1818"/>
          <w:sz w:val="24"/>
          <w:szCs w:val="24"/>
        </w:rPr>
        <w:t xml:space="preserve"> and more likely to earn less money than men when they are employed (</w:t>
      </w:r>
      <w:proofErr w:type="spellStart"/>
      <w:r w:rsidRPr="006B280E">
        <w:rPr>
          <w:color w:val="1A1818"/>
          <w:sz w:val="24"/>
          <w:szCs w:val="24"/>
        </w:rPr>
        <w:t>O’Harrah</w:t>
      </w:r>
      <w:proofErr w:type="spellEnd"/>
      <w:r w:rsidRPr="006B280E">
        <w:rPr>
          <w:color w:val="1A1818"/>
          <w:sz w:val="24"/>
          <w:szCs w:val="24"/>
        </w:rPr>
        <w:t xml:space="preserve">, 2004; </w:t>
      </w:r>
      <w:proofErr w:type="spellStart"/>
      <w:r w:rsidRPr="006B280E">
        <w:rPr>
          <w:color w:val="1A1818"/>
          <w:sz w:val="24"/>
          <w:szCs w:val="24"/>
        </w:rPr>
        <w:t>Traustadottir</w:t>
      </w:r>
      <w:proofErr w:type="spellEnd"/>
      <w:r w:rsidRPr="006B280E">
        <w:rPr>
          <w:color w:val="1A1818"/>
          <w:sz w:val="24"/>
          <w:szCs w:val="24"/>
        </w:rPr>
        <w:t xml:space="preserve">, 1990). Women are underrepresented in rehabilitation programs and women with disabilities experience inequality in education and health care, more poverty, and less social inclusion compared to their male and able-bodied counterparts, as well as being subjected to policies and practices that were not originally designed to meet their needs (Fine &amp; Asch, 1985, 1988; </w:t>
      </w:r>
      <w:proofErr w:type="spellStart"/>
      <w:r w:rsidRPr="006B280E">
        <w:rPr>
          <w:color w:val="1A1818"/>
          <w:sz w:val="24"/>
          <w:szCs w:val="24"/>
        </w:rPr>
        <w:t>Kutza</w:t>
      </w:r>
      <w:proofErr w:type="spellEnd"/>
      <w:r w:rsidRPr="006B280E">
        <w:rPr>
          <w:color w:val="1A1818"/>
          <w:sz w:val="24"/>
          <w:szCs w:val="24"/>
        </w:rPr>
        <w:t xml:space="preserve">, 1985; </w:t>
      </w:r>
      <w:proofErr w:type="spellStart"/>
      <w:r w:rsidRPr="006B280E">
        <w:rPr>
          <w:color w:val="1A1818"/>
          <w:sz w:val="24"/>
          <w:szCs w:val="24"/>
        </w:rPr>
        <w:t>Mudrick</w:t>
      </w:r>
      <w:proofErr w:type="spellEnd"/>
      <w:r w:rsidRPr="006B280E">
        <w:rPr>
          <w:color w:val="1A1818"/>
          <w:sz w:val="24"/>
          <w:szCs w:val="24"/>
        </w:rPr>
        <w:t xml:space="preserve">, 1988).  </w:t>
      </w: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Not only does the relationship between gender and disability produce unique barriers to social resources and institutions, but also gender and disability combine to shape the interpersonal experiences of women and men with disabilities. Because of the widespread discrimination they face in many social domains, women with disabilities experience multiple psychosocial challenges, lack of social support, low income or poverty, and abuse that impact</w:t>
      </w:r>
      <w:r w:rsidRPr="00F31562">
        <w:rPr>
          <w:sz w:val="24"/>
          <w:szCs w:val="24"/>
        </w:rPr>
        <w:t>s</w:t>
      </w:r>
      <w:r w:rsidRPr="006B280E">
        <w:rPr>
          <w:color w:val="1A1818"/>
          <w:sz w:val="24"/>
          <w:szCs w:val="24"/>
        </w:rPr>
        <w:t xml:space="preserve"> their quality of life (</w:t>
      </w:r>
      <w:proofErr w:type="spellStart"/>
      <w:r w:rsidRPr="006B280E">
        <w:rPr>
          <w:color w:val="1A1818"/>
          <w:sz w:val="24"/>
          <w:szCs w:val="24"/>
        </w:rPr>
        <w:t>Berkman</w:t>
      </w:r>
      <w:proofErr w:type="spellEnd"/>
      <w:r w:rsidRPr="006B280E">
        <w:rPr>
          <w:color w:val="1A1818"/>
          <w:sz w:val="24"/>
          <w:szCs w:val="24"/>
        </w:rPr>
        <w:t xml:space="preserve"> &amp; </w:t>
      </w:r>
      <w:proofErr w:type="spellStart"/>
      <w:r w:rsidRPr="006B280E">
        <w:rPr>
          <w:color w:val="1A1818"/>
          <w:sz w:val="24"/>
          <w:szCs w:val="24"/>
        </w:rPr>
        <w:t>Syme</w:t>
      </w:r>
      <w:proofErr w:type="spellEnd"/>
      <w:r w:rsidRPr="006B280E">
        <w:rPr>
          <w:color w:val="1A1818"/>
          <w:sz w:val="24"/>
          <w:szCs w:val="24"/>
        </w:rPr>
        <w:t>, 1979</w:t>
      </w:r>
      <w:r>
        <w:rPr>
          <w:color w:val="1A1818"/>
          <w:sz w:val="24"/>
          <w:szCs w:val="24"/>
        </w:rPr>
        <w:t xml:space="preserve">; Hart, </w:t>
      </w:r>
      <w:proofErr w:type="spellStart"/>
      <w:r>
        <w:rPr>
          <w:color w:val="1A1818"/>
          <w:sz w:val="24"/>
          <w:szCs w:val="24"/>
        </w:rPr>
        <w:t>Rintala</w:t>
      </w:r>
      <w:proofErr w:type="spellEnd"/>
      <w:r>
        <w:rPr>
          <w:color w:val="1A1818"/>
          <w:sz w:val="24"/>
          <w:szCs w:val="24"/>
        </w:rPr>
        <w:t>, &amp; Fuhrer, 1996</w:t>
      </w:r>
      <w:r w:rsidRPr="006B280E">
        <w:rPr>
          <w:color w:val="1A1818"/>
          <w:sz w:val="24"/>
          <w:szCs w:val="24"/>
        </w:rPr>
        <w:t xml:space="preserve">; McGrath, Keita, Strickland, &amp; Russo, 1990; Warren &amp; </w:t>
      </w:r>
      <w:proofErr w:type="spellStart"/>
      <w:r w:rsidRPr="006B280E">
        <w:rPr>
          <w:color w:val="1A1818"/>
          <w:sz w:val="24"/>
          <w:szCs w:val="24"/>
        </w:rPr>
        <w:t>McEachren</w:t>
      </w:r>
      <w:proofErr w:type="spellEnd"/>
      <w:r w:rsidRPr="006B280E">
        <w:rPr>
          <w:color w:val="1A1818"/>
          <w:sz w:val="24"/>
          <w:szCs w:val="24"/>
        </w:rPr>
        <w:t xml:space="preserve">, 1983; </w:t>
      </w:r>
      <w:proofErr w:type="spellStart"/>
      <w:r w:rsidRPr="006B280E">
        <w:rPr>
          <w:color w:val="1A1818"/>
          <w:sz w:val="24"/>
          <w:szCs w:val="24"/>
        </w:rPr>
        <w:t>Brownridge</w:t>
      </w:r>
      <w:proofErr w:type="spellEnd"/>
      <w:r w:rsidRPr="006B280E">
        <w:rPr>
          <w:color w:val="1A1818"/>
          <w:sz w:val="24"/>
          <w:szCs w:val="24"/>
        </w:rPr>
        <w:t xml:space="preserve">, 2006; </w:t>
      </w:r>
      <w:proofErr w:type="spellStart"/>
      <w:r w:rsidRPr="006B280E">
        <w:rPr>
          <w:color w:val="1A1818"/>
          <w:sz w:val="24"/>
          <w:szCs w:val="24"/>
        </w:rPr>
        <w:t>Nosek</w:t>
      </w:r>
      <w:proofErr w:type="spellEnd"/>
      <w:r w:rsidRPr="006B280E">
        <w:rPr>
          <w:color w:val="1A1818"/>
          <w:sz w:val="24"/>
          <w:szCs w:val="24"/>
        </w:rPr>
        <w:t xml:space="preserve">, Foley, Hughes, &amp; Howland, 2001; </w:t>
      </w:r>
      <w:proofErr w:type="spellStart"/>
      <w:r w:rsidRPr="006B280E">
        <w:rPr>
          <w:color w:val="1A1818"/>
          <w:sz w:val="24"/>
          <w:szCs w:val="24"/>
        </w:rPr>
        <w:t>Nosek</w:t>
      </w:r>
      <w:proofErr w:type="spellEnd"/>
      <w:r w:rsidRPr="006B280E">
        <w:rPr>
          <w:color w:val="1A1818"/>
          <w:sz w:val="24"/>
          <w:szCs w:val="24"/>
        </w:rPr>
        <w:t xml:space="preserve"> &amp; Hughes, 2003). </w:t>
      </w:r>
    </w:p>
    <w:p w:rsidR="00837178" w:rsidRPr="006B280E" w:rsidRDefault="00837178" w:rsidP="00837178">
      <w:pPr>
        <w:spacing w:line="240" w:lineRule="auto"/>
        <w:rPr>
          <w:sz w:val="24"/>
          <w:szCs w:val="24"/>
        </w:rPr>
      </w:pP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 xml:space="preserve">Rehabilitation research in the last 20 years has begun to explore the impact of the combined social locations and identities of gender and disability on quality of life, as well as health and well-being. According to </w:t>
      </w:r>
      <w:proofErr w:type="spellStart"/>
      <w:r w:rsidRPr="006B280E">
        <w:rPr>
          <w:color w:val="1A1818"/>
          <w:sz w:val="24"/>
          <w:szCs w:val="24"/>
        </w:rPr>
        <w:t>Nosek</w:t>
      </w:r>
      <w:proofErr w:type="spellEnd"/>
      <w:r w:rsidRPr="006B280E">
        <w:rPr>
          <w:color w:val="1A1818"/>
          <w:sz w:val="24"/>
          <w:szCs w:val="24"/>
        </w:rPr>
        <w:t xml:space="preserve"> and Hughes (2003):</w:t>
      </w:r>
      <w:r>
        <w:rPr>
          <w:color w:val="1A1818"/>
          <w:sz w:val="24"/>
          <w:szCs w:val="24"/>
        </w:rPr>
        <w:t xml:space="preserve"> </w:t>
      </w:r>
      <w:r w:rsidRPr="006B280E">
        <w:rPr>
          <w:color w:val="1A1818"/>
          <w:sz w:val="24"/>
          <w:szCs w:val="24"/>
        </w:rPr>
        <w:t>“We have little empirically based evidence suggesting that clinical practice is different in the psychosocial rehabilitation and community reintegration of women and men with disabilities...</w:t>
      </w:r>
      <w:r>
        <w:rPr>
          <w:color w:val="1A1818"/>
          <w:sz w:val="24"/>
          <w:szCs w:val="24"/>
        </w:rPr>
        <w:t>i</w:t>
      </w:r>
      <w:r w:rsidRPr="006B280E">
        <w:rPr>
          <w:color w:val="1A1818"/>
          <w:sz w:val="24"/>
          <w:szCs w:val="24"/>
        </w:rPr>
        <w:t>t is time to think and respond differently to femaleness and maleness in rehabilitation and research” (225).</w:t>
      </w:r>
    </w:p>
    <w:p w:rsidR="00837178" w:rsidRPr="006B280E" w:rsidRDefault="00837178" w:rsidP="00837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837178" w:rsidRPr="006B280E" w:rsidRDefault="00837178" w:rsidP="00837178">
      <w:pPr>
        <w:spacing w:line="240" w:lineRule="auto"/>
        <w:rPr>
          <w:sz w:val="24"/>
          <w:szCs w:val="24"/>
        </w:rPr>
      </w:pPr>
      <w:r w:rsidRPr="006B280E">
        <w:rPr>
          <w:color w:val="1A1818"/>
          <w:sz w:val="24"/>
          <w:szCs w:val="24"/>
        </w:rPr>
        <w:t xml:space="preserve">Within this issue, several studies will address the intersection of gender and disability through an international perspective. </w:t>
      </w:r>
      <w:r w:rsidRPr="006B280E">
        <w:rPr>
          <w:sz w:val="24"/>
          <w:szCs w:val="24"/>
        </w:rPr>
        <w:t xml:space="preserve">In the United States, Armstrong et al., explore the </w:t>
      </w:r>
      <w:r w:rsidRPr="006B280E">
        <w:rPr>
          <w:sz w:val="24"/>
          <w:szCs w:val="24"/>
        </w:rPr>
        <w:lastRenderedPageBreak/>
        <w:t>allegations of ADA Title 1 employment discrimination relevant to characteristics of charging parties including gender and disability. Koch et al. investigate allegations of employment discrimination relevant to characteristics of employers such as size, industry</w:t>
      </w:r>
      <w:r>
        <w:rPr>
          <w:sz w:val="24"/>
          <w:szCs w:val="24"/>
        </w:rPr>
        <w:t>,</w:t>
      </w:r>
      <w:r w:rsidRPr="006B280E">
        <w:rPr>
          <w:sz w:val="24"/>
          <w:szCs w:val="24"/>
        </w:rPr>
        <w:t xml:space="preserve"> and region. </w:t>
      </w:r>
    </w:p>
    <w:p w:rsidR="00837178" w:rsidRPr="006B280E" w:rsidRDefault="00837178" w:rsidP="00837178">
      <w:pPr>
        <w:spacing w:line="240" w:lineRule="auto"/>
        <w:rPr>
          <w:sz w:val="24"/>
          <w:szCs w:val="24"/>
        </w:rPr>
      </w:pPr>
    </w:p>
    <w:p w:rsidR="00837178" w:rsidRPr="006B280E" w:rsidRDefault="00837178" w:rsidP="00837178">
      <w:pPr>
        <w:spacing w:line="240" w:lineRule="auto"/>
        <w:rPr>
          <w:sz w:val="24"/>
          <w:szCs w:val="24"/>
        </w:rPr>
      </w:pPr>
      <w:proofErr w:type="spellStart"/>
      <w:r w:rsidRPr="006B280E">
        <w:rPr>
          <w:sz w:val="24"/>
          <w:szCs w:val="24"/>
        </w:rPr>
        <w:t>Bagnato</w:t>
      </w:r>
      <w:proofErr w:type="spellEnd"/>
      <w:r w:rsidRPr="006B280E">
        <w:rPr>
          <w:sz w:val="24"/>
          <w:szCs w:val="24"/>
        </w:rPr>
        <w:t xml:space="preserve"> et al. investigate the health and disability status among people aged 14 and older living in high poverty urban areas of Uruguay’s capital and surrounding areas, with a special focus on women. In </w:t>
      </w:r>
      <w:r>
        <w:rPr>
          <w:sz w:val="24"/>
          <w:szCs w:val="24"/>
        </w:rPr>
        <w:t>Lo-</w:t>
      </w:r>
      <w:proofErr w:type="spellStart"/>
      <w:r w:rsidRPr="006B280E">
        <w:rPr>
          <w:sz w:val="24"/>
          <w:szCs w:val="24"/>
        </w:rPr>
        <w:t>Hui</w:t>
      </w:r>
      <w:proofErr w:type="spellEnd"/>
      <w:r w:rsidRPr="006B280E">
        <w:rPr>
          <w:sz w:val="24"/>
          <w:szCs w:val="24"/>
        </w:rPr>
        <w:t xml:space="preserve"> et al</w:t>
      </w:r>
      <w:r>
        <w:rPr>
          <w:sz w:val="24"/>
          <w:szCs w:val="24"/>
        </w:rPr>
        <w:t>.</w:t>
      </w:r>
      <w:r w:rsidRPr="006B280E">
        <w:rPr>
          <w:sz w:val="24"/>
          <w:szCs w:val="24"/>
        </w:rPr>
        <w:t>, rural Chinese migr</w:t>
      </w:r>
      <w:r>
        <w:rPr>
          <w:sz w:val="24"/>
          <w:szCs w:val="24"/>
        </w:rPr>
        <w:t>ant workers who experience work-</w:t>
      </w:r>
      <w:r w:rsidRPr="006B280E">
        <w:rPr>
          <w:sz w:val="24"/>
          <w:szCs w:val="24"/>
        </w:rPr>
        <w:t>related injuries are highlighted within a traditional cultural context including the perceived impact upon roles, relationships, social connectedness, and quality of life.</w:t>
      </w:r>
    </w:p>
    <w:p w:rsidR="00837178" w:rsidRPr="006B280E" w:rsidRDefault="00837178" w:rsidP="00837178">
      <w:pPr>
        <w:spacing w:line="240" w:lineRule="auto"/>
        <w:rPr>
          <w:sz w:val="24"/>
          <w:szCs w:val="24"/>
        </w:rPr>
      </w:pPr>
    </w:p>
    <w:p w:rsidR="00837178" w:rsidRPr="006B280E" w:rsidRDefault="00837178" w:rsidP="00837178">
      <w:pPr>
        <w:spacing w:line="240" w:lineRule="auto"/>
        <w:rPr>
          <w:sz w:val="24"/>
          <w:szCs w:val="24"/>
        </w:rPr>
      </w:pPr>
      <w:r w:rsidRPr="006B280E">
        <w:rPr>
          <w:sz w:val="24"/>
          <w:szCs w:val="24"/>
        </w:rPr>
        <w:t>Each of these studies further contributes to the body of research relevant to gender and disability. Further research is warranted exploring this topic. However, we must also be more cognizant of our research impact these days. In our current phase of research development in the area of disability education and services, we have solid documentation that disability disparities due to gender as well as cultural orientation exist. Research to date has done a laudable job pinpointing that there is a problem and describing its nature. However, we need strategies that begin to achieve the research outcome of the elimination of the challenges related to gender and disability disparities. Research must embrace a stronger focus on interventions and solutions that tackle these challenges.</w:t>
      </w:r>
    </w:p>
    <w:p w:rsidR="00837178" w:rsidRPr="006B280E" w:rsidRDefault="00837178" w:rsidP="00837178">
      <w:pPr>
        <w:autoSpaceDE w:val="0"/>
        <w:autoSpaceDN w:val="0"/>
        <w:adjustRightInd w:val="0"/>
        <w:spacing w:line="240" w:lineRule="auto"/>
        <w:rPr>
          <w:sz w:val="24"/>
          <w:szCs w:val="24"/>
        </w:rPr>
      </w:pPr>
    </w:p>
    <w:p w:rsidR="00837178" w:rsidRPr="006B280E" w:rsidRDefault="00837178" w:rsidP="00837178">
      <w:pPr>
        <w:autoSpaceDE w:val="0"/>
        <w:autoSpaceDN w:val="0"/>
        <w:adjustRightInd w:val="0"/>
        <w:spacing w:line="240" w:lineRule="auto"/>
        <w:rPr>
          <w:sz w:val="24"/>
          <w:szCs w:val="24"/>
        </w:rPr>
      </w:pPr>
      <w:r w:rsidRPr="006B280E">
        <w:rPr>
          <w:sz w:val="24"/>
          <w:szCs w:val="24"/>
        </w:rPr>
        <w:t>Given this, we urge each of you to accept the responsibility to help the field progress from mere documentation and description of the problem of disability disparities toward the research outcome of developing, identifying, and promoting strategies that will begin</w:t>
      </w:r>
      <w:r>
        <w:rPr>
          <w:sz w:val="24"/>
          <w:szCs w:val="24"/>
        </w:rPr>
        <w:t xml:space="preserve"> </w:t>
      </w:r>
      <w:r w:rsidRPr="006B280E">
        <w:rPr>
          <w:sz w:val="24"/>
          <w:szCs w:val="24"/>
        </w:rPr>
        <w:t>to effectively address, and eventually ameliorate these challenges. As change agents in our field, we charge each of you to use the take away lessons from the manuscripts</w:t>
      </w:r>
      <w:r>
        <w:rPr>
          <w:sz w:val="24"/>
          <w:szCs w:val="24"/>
        </w:rPr>
        <w:t xml:space="preserve"> </w:t>
      </w:r>
      <w:r w:rsidRPr="006B280E">
        <w:rPr>
          <w:sz w:val="24"/>
          <w:szCs w:val="24"/>
        </w:rPr>
        <w:t>in this special issue and advocate that they begin to influence everyday disability service practice in the spirit of knowledge translation. For we not only have a responsibility to produce the research and knowledge that is so derived from it, but equally important, we have a duty to ensure that what we learn in the name of research positively informs everyday practice.</w:t>
      </w:r>
    </w:p>
    <w:p w:rsidR="00837178" w:rsidRPr="006B280E" w:rsidRDefault="00837178" w:rsidP="00837178">
      <w:pPr>
        <w:autoSpaceDE w:val="0"/>
        <w:autoSpaceDN w:val="0"/>
        <w:adjustRightInd w:val="0"/>
        <w:spacing w:line="240" w:lineRule="auto"/>
        <w:rPr>
          <w:sz w:val="24"/>
          <w:szCs w:val="24"/>
        </w:rPr>
      </w:pPr>
    </w:p>
    <w:p w:rsidR="00837178" w:rsidRPr="006B280E" w:rsidRDefault="00837178" w:rsidP="00837178">
      <w:pPr>
        <w:autoSpaceDE w:val="0"/>
        <w:autoSpaceDN w:val="0"/>
        <w:adjustRightInd w:val="0"/>
        <w:spacing w:line="240" w:lineRule="auto"/>
        <w:rPr>
          <w:sz w:val="24"/>
          <w:szCs w:val="24"/>
        </w:rPr>
      </w:pPr>
      <w:r w:rsidRPr="006B280E">
        <w:rPr>
          <w:sz w:val="24"/>
          <w:szCs w:val="24"/>
        </w:rPr>
        <w:t>We hope that this issue will provide a catalyst for you to consider either contributing to the existing body of research on this topic and/or to engage in addressing and creating solutions to enhance the inclusion and quality of life of women and men with disabilities.</w:t>
      </w:r>
    </w:p>
    <w:p w:rsidR="00837178" w:rsidRPr="006B280E" w:rsidRDefault="00837178" w:rsidP="00837178">
      <w:pPr>
        <w:autoSpaceDE w:val="0"/>
        <w:autoSpaceDN w:val="0"/>
        <w:adjustRightInd w:val="0"/>
        <w:spacing w:line="240" w:lineRule="auto"/>
        <w:rPr>
          <w:sz w:val="24"/>
          <w:szCs w:val="24"/>
        </w:rPr>
      </w:pPr>
    </w:p>
    <w:p w:rsidR="00837178" w:rsidRPr="006B280E" w:rsidRDefault="00837178" w:rsidP="00837178">
      <w:pPr>
        <w:autoSpaceDE w:val="0"/>
        <w:autoSpaceDN w:val="0"/>
        <w:adjustRightInd w:val="0"/>
        <w:spacing w:line="240" w:lineRule="auto"/>
        <w:ind w:firstLine="0"/>
        <w:jc w:val="both"/>
        <w:rPr>
          <w:sz w:val="24"/>
          <w:szCs w:val="24"/>
        </w:rPr>
      </w:pPr>
      <w:r w:rsidRPr="006B280E">
        <w:rPr>
          <w:sz w:val="24"/>
          <w:szCs w:val="24"/>
        </w:rPr>
        <w:t>Sincerely,</w:t>
      </w:r>
    </w:p>
    <w:p w:rsidR="00837178" w:rsidRPr="006B280E" w:rsidRDefault="00837178" w:rsidP="00837178">
      <w:pPr>
        <w:autoSpaceDE w:val="0"/>
        <w:autoSpaceDN w:val="0"/>
        <w:adjustRightInd w:val="0"/>
        <w:spacing w:line="240" w:lineRule="auto"/>
        <w:ind w:firstLine="0"/>
        <w:jc w:val="both"/>
        <w:rPr>
          <w:sz w:val="24"/>
          <w:szCs w:val="24"/>
        </w:rPr>
      </w:pPr>
    </w:p>
    <w:p w:rsidR="00837178" w:rsidRPr="006B280E" w:rsidRDefault="00837178" w:rsidP="00837178">
      <w:pPr>
        <w:autoSpaceDE w:val="0"/>
        <w:autoSpaceDN w:val="0"/>
        <w:adjustRightInd w:val="0"/>
        <w:spacing w:line="240" w:lineRule="auto"/>
        <w:ind w:firstLine="0"/>
        <w:jc w:val="both"/>
        <w:rPr>
          <w:sz w:val="24"/>
          <w:szCs w:val="24"/>
        </w:rPr>
      </w:pPr>
      <w:r w:rsidRPr="006B280E">
        <w:rPr>
          <w:sz w:val="24"/>
          <w:szCs w:val="24"/>
        </w:rPr>
        <w:t>Allen N Lewis</w:t>
      </w:r>
    </w:p>
    <w:p w:rsidR="00837178" w:rsidRPr="006B280E" w:rsidRDefault="00837178" w:rsidP="00837178">
      <w:pPr>
        <w:autoSpaceDE w:val="0"/>
        <w:autoSpaceDN w:val="0"/>
        <w:adjustRightInd w:val="0"/>
        <w:spacing w:line="240" w:lineRule="auto"/>
        <w:ind w:firstLine="0"/>
        <w:jc w:val="both"/>
        <w:rPr>
          <w:sz w:val="24"/>
          <w:szCs w:val="24"/>
        </w:rPr>
      </w:pPr>
      <w:r w:rsidRPr="006B280E">
        <w:rPr>
          <w:sz w:val="24"/>
          <w:szCs w:val="24"/>
        </w:rPr>
        <w:t>Amy J Armstrong</w:t>
      </w:r>
    </w:p>
    <w:p w:rsidR="00837178" w:rsidRPr="006B280E" w:rsidRDefault="00837178" w:rsidP="00837178">
      <w:pPr>
        <w:autoSpaceDE w:val="0"/>
        <w:autoSpaceDN w:val="0"/>
        <w:adjustRightInd w:val="0"/>
        <w:spacing w:line="240" w:lineRule="auto"/>
        <w:ind w:firstLine="0"/>
        <w:jc w:val="both"/>
        <w:rPr>
          <w:sz w:val="24"/>
          <w:szCs w:val="24"/>
        </w:rPr>
      </w:pPr>
      <w:r w:rsidRPr="006B280E">
        <w:rPr>
          <w:sz w:val="24"/>
          <w:szCs w:val="24"/>
        </w:rPr>
        <w:t>Virginia Commonwealth University</w:t>
      </w:r>
    </w:p>
    <w:p w:rsidR="00837178" w:rsidRDefault="00837178" w:rsidP="00837178">
      <w:pPr>
        <w:autoSpaceDE w:val="0"/>
        <w:autoSpaceDN w:val="0"/>
        <w:adjustRightInd w:val="0"/>
        <w:spacing w:line="240" w:lineRule="auto"/>
        <w:rPr>
          <w:sz w:val="24"/>
          <w:szCs w:val="24"/>
        </w:rPr>
      </w:pPr>
    </w:p>
    <w:p w:rsidR="00837178" w:rsidRDefault="00837178" w:rsidP="00837178">
      <w:pPr>
        <w:autoSpaceDE w:val="0"/>
        <w:autoSpaceDN w:val="0"/>
        <w:adjustRightInd w:val="0"/>
        <w:spacing w:line="240" w:lineRule="auto"/>
        <w:rPr>
          <w:sz w:val="24"/>
          <w:szCs w:val="24"/>
        </w:rPr>
      </w:pPr>
    </w:p>
    <w:p w:rsidR="00837178" w:rsidRDefault="00837178" w:rsidP="00837178">
      <w:pPr>
        <w:autoSpaceDE w:val="0"/>
        <w:autoSpaceDN w:val="0"/>
        <w:adjustRightInd w:val="0"/>
        <w:spacing w:line="240" w:lineRule="auto"/>
        <w:ind w:firstLine="0"/>
        <w:jc w:val="center"/>
        <w:rPr>
          <w:sz w:val="24"/>
          <w:szCs w:val="24"/>
        </w:rPr>
      </w:pPr>
      <w:r>
        <w:rPr>
          <w:sz w:val="24"/>
          <w:szCs w:val="24"/>
        </w:rPr>
        <w:t>References</w:t>
      </w:r>
    </w:p>
    <w:p w:rsidR="00837178" w:rsidRPr="006B280E" w:rsidRDefault="00837178" w:rsidP="00837178">
      <w:pPr>
        <w:autoSpaceDE w:val="0"/>
        <w:autoSpaceDN w:val="0"/>
        <w:adjustRightInd w:val="0"/>
        <w:spacing w:line="240" w:lineRule="auto"/>
        <w:ind w:left="720" w:hanging="720"/>
        <w:jc w:val="center"/>
        <w:rPr>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spellStart"/>
      <w:r w:rsidRPr="006B280E">
        <w:rPr>
          <w:color w:val="231F20"/>
          <w:sz w:val="24"/>
          <w:szCs w:val="24"/>
        </w:rPr>
        <w:t>Berkman</w:t>
      </w:r>
      <w:proofErr w:type="spellEnd"/>
      <w:r w:rsidRPr="006B280E">
        <w:rPr>
          <w:color w:val="231F20"/>
          <w:sz w:val="24"/>
          <w:szCs w:val="24"/>
        </w:rPr>
        <w:t>, L .</w:t>
      </w:r>
      <w:proofErr w:type="gramStart"/>
      <w:r w:rsidRPr="006B280E">
        <w:rPr>
          <w:color w:val="231F20"/>
          <w:sz w:val="24"/>
          <w:szCs w:val="24"/>
        </w:rPr>
        <w:t>F</w:t>
      </w:r>
      <w:r>
        <w:rPr>
          <w:color w:val="231F20"/>
          <w:sz w:val="24"/>
          <w:szCs w:val="24"/>
        </w:rPr>
        <w:t>.,</w:t>
      </w:r>
      <w:proofErr w:type="gramEnd"/>
      <w:r w:rsidRPr="006B280E">
        <w:rPr>
          <w:color w:val="231F20"/>
          <w:sz w:val="24"/>
          <w:szCs w:val="24"/>
        </w:rPr>
        <w:t xml:space="preserve"> &amp; </w:t>
      </w:r>
      <w:proofErr w:type="spellStart"/>
      <w:r w:rsidRPr="006B280E">
        <w:rPr>
          <w:color w:val="231F20"/>
          <w:sz w:val="24"/>
          <w:szCs w:val="24"/>
        </w:rPr>
        <w:t>Syme</w:t>
      </w:r>
      <w:proofErr w:type="spellEnd"/>
      <w:r w:rsidRPr="006B280E">
        <w:rPr>
          <w:color w:val="231F20"/>
          <w:sz w:val="24"/>
          <w:szCs w:val="24"/>
        </w:rPr>
        <w:t xml:space="preserve">, S. L. (1979). Social networks, host resistance, and mortality: A nine-year follow-up study of Alameda County residents. </w:t>
      </w:r>
      <w:r w:rsidRPr="006B280E">
        <w:rPr>
          <w:i/>
          <w:iCs/>
          <w:color w:val="231F20"/>
          <w:sz w:val="24"/>
          <w:szCs w:val="24"/>
        </w:rPr>
        <w:t>American Journal of Epidemiology, 109</w:t>
      </w:r>
      <w:r w:rsidRPr="006B280E">
        <w:rPr>
          <w:color w:val="231F20"/>
          <w:sz w:val="24"/>
          <w:szCs w:val="24"/>
        </w:rPr>
        <w:t>(2), 186-204.</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spellStart"/>
      <w:proofErr w:type="gramStart"/>
      <w:r w:rsidRPr="006B280E">
        <w:rPr>
          <w:color w:val="231F20"/>
          <w:sz w:val="24"/>
          <w:szCs w:val="24"/>
        </w:rPr>
        <w:t>Brownridge</w:t>
      </w:r>
      <w:proofErr w:type="spellEnd"/>
      <w:r w:rsidRPr="006B280E">
        <w:rPr>
          <w:color w:val="231F20"/>
          <w:sz w:val="24"/>
          <w:szCs w:val="24"/>
        </w:rPr>
        <w:t>, D. A. (2006).</w:t>
      </w:r>
      <w:proofErr w:type="gramEnd"/>
      <w:r w:rsidRPr="006B280E">
        <w:rPr>
          <w:color w:val="231F20"/>
          <w:sz w:val="24"/>
          <w:szCs w:val="24"/>
        </w:rPr>
        <w:t xml:space="preserve"> Partner violence against women with disabilities: Prevalence, risk, and explanations. </w:t>
      </w:r>
      <w:r w:rsidRPr="006B280E">
        <w:rPr>
          <w:i/>
          <w:iCs/>
          <w:color w:val="231F20"/>
          <w:sz w:val="24"/>
          <w:szCs w:val="24"/>
        </w:rPr>
        <w:t xml:space="preserve">Violence </w:t>
      </w:r>
      <w:proofErr w:type="gramStart"/>
      <w:r w:rsidRPr="006B280E">
        <w:rPr>
          <w:i/>
          <w:iCs/>
          <w:color w:val="231F20"/>
          <w:sz w:val="24"/>
          <w:szCs w:val="24"/>
        </w:rPr>
        <w:t>Against</w:t>
      </w:r>
      <w:proofErr w:type="gramEnd"/>
      <w:r w:rsidRPr="006B280E">
        <w:rPr>
          <w:i/>
          <w:iCs/>
          <w:color w:val="231F20"/>
          <w:sz w:val="24"/>
          <w:szCs w:val="24"/>
        </w:rPr>
        <w:t xml:space="preserve"> Women 12</w:t>
      </w:r>
      <w:r w:rsidRPr="006B280E">
        <w:rPr>
          <w:color w:val="231F20"/>
          <w:sz w:val="24"/>
          <w:szCs w:val="24"/>
        </w:rPr>
        <w:t>(9), 805-822.</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r w:rsidRPr="006B280E">
        <w:rPr>
          <w:color w:val="231F20"/>
          <w:sz w:val="24"/>
          <w:szCs w:val="24"/>
        </w:rPr>
        <w:t>Corker, M., &amp; French, S. (Eds.)</w:t>
      </w:r>
      <w:r>
        <w:rPr>
          <w:color w:val="231F20"/>
          <w:sz w:val="24"/>
          <w:szCs w:val="24"/>
        </w:rPr>
        <w:t>.</w:t>
      </w:r>
      <w:r w:rsidRPr="006B280E">
        <w:rPr>
          <w:color w:val="231F20"/>
          <w:sz w:val="24"/>
          <w:szCs w:val="24"/>
        </w:rPr>
        <w:t xml:space="preserve"> </w:t>
      </w:r>
      <w:proofErr w:type="gramStart"/>
      <w:r w:rsidRPr="006B280E">
        <w:rPr>
          <w:color w:val="231F20"/>
          <w:sz w:val="24"/>
          <w:szCs w:val="24"/>
        </w:rPr>
        <w:t xml:space="preserve">(1999). </w:t>
      </w:r>
      <w:r w:rsidRPr="006B280E">
        <w:rPr>
          <w:i/>
          <w:iCs/>
          <w:color w:val="231F20"/>
          <w:sz w:val="24"/>
          <w:szCs w:val="24"/>
        </w:rPr>
        <w:t>Disability discourse</w:t>
      </w:r>
      <w:r w:rsidRPr="006B280E">
        <w:rPr>
          <w:color w:val="231F20"/>
          <w:sz w:val="24"/>
          <w:szCs w:val="24"/>
        </w:rPr>
        <w:t>.</w:t>
      </w:r>
      <w:proofErr w:type="gramEnd"/>
      <w:r w:rsidRPr="006B280E">
        <w:rPr>
          <w:color w:val="231F20"/>
          <w:sz w:val="24"/>
          <w:szCs w:val="24"/>
        </w:rPr>
        <w:t xml:space="preserve"> Philadelphia, PA: Open University Press</w:t>
      </w:r>
      <w:r>
        <w:rPr>
          <w:color w:val="231F20"/>
          <w:sz w:val="24"/>
          <w:szCs w:val="24"/>
        </w:rPr>
        <w:t>.</w:t>
      </w:r>
      <w:r w:rsidRPr="006B280E">
        <w:rPr>
          <w:color w:val="231F20"/>
          <w:sz w:val="24"/>
          <w:szCs w:val="24"/>
        </w:rPr>
        <w:t xml:space="preserve"> </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r w:rsidRPr="006B280E">
        <w:rPr>
          <w:color w:val="231F20"/>
          <w:sz w:val="24"/>
          <w:szCs w:val="24"/>
        </w:rPr>
        <w:t>Fine, M., &amp; Asch, A. (1985). Disabled women: Sexism without the pedestal. In M.</w:t>
      </w:r>
      <w:r>
        <w:rPr>
          <w:color w:val="231F20"/>
          <w:sz w:val="24"/>
          <w:szCs w:val="24"/>
        </w:rPr>
        <w:t xml:space="preserve"> </w:t>
      </w:r>
      <w:r w:rsidRPr="006B280E">
        <w:rPr>
          <w:color w:val="231F20"/>
          <w:sz w:val="24"/>
          <w:szCs w:val="24"/>
        </w:rPr>
        <w:t xml:space="preserve">J. </w:t>
      </w:r>
      <w:proofErr w:type="spellStart"/>
      <w:r w:rsidRPr="006B280E">
        <w:rPr>
          <w:color w:val="231F20"/>
          <w:sz w:val="24"/>
          <w:szCs w:val="24"/>
        </w:rPr>
        <w:t>Deegan</w:t>
      </w:r>
      <w:proofErr w:type="spellEnd"/>
      <w:r w:rsidRPr="006B280E">
        <w:rPr>
          <w:color w:val="231F20"/>
          <w:sz w:val="24"/>
          <w:szCs w:val="24"/>
        </w:rPr>
        <w:t>, &amp; N.</w:t>
      </w:r>
      <w:r>
        <w:rPr>
          <w:color w:val="231F20"/>
          <w:sz w:val="24"/>
          <w:szCs w:val="24"/>
        </w:rPr>
        <w:t xml:space="preserve"> </w:t>
      </w:r>
      <w:r w:rsidRPr="006B280E">
        <w:rPr>
          <w:color w:val="231F20"/>
          <w:sz w:val="24"/>
          <w:szCs w:val="24"/>
        </w:rPr>
        <w:t xml:space="preserve">A. Brooks (Eds.), </w:t>
      </w:r>
      <w:r w:rsidRPr="006B280E">
        <w:rPr>
          <w:i/>
          <w:iCs/>
          <w:color w:val="231F20"/>
          <w:sz w:val="24"/>
          <w:szCs w:val="24"/>
        </w:rPr>
        <w:t>Women and disability: The double handicap</w:t>
      </w:r>
      <w:r w:rsidRPr="006B280E">
        <w:rPr>
          <w:color w:val="231F20"/>
          <w:sz w:val="24"/>
          <w:szCs w:val="24"/>
        </w:rPr>
        <w:t>. New Brunswick, NJ: Transaction Books.</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r w:rsidRPr="006B280E">
        <w:rPr>
          <w:color w:val="231F20"/>
          <w:sz w:val="24"/>
          <w:szCs w:val="24"/>
        </w:rPr>
        <w:t xml:space="preserve">Fine, M., &amp; Asch, A. (1988). Epilogue: Research and politics to come. In M. Fine &amp; A. Asch (Eds.), </w:t>
      </w:r>
      <w:r w:rsidRPr="006B280E">
        <w:rPr>
          <w:i/>
          <w:iCs/>
          <w:color w:val="231F20"/>
          <w:sz w:val="24"/>
          <w:szCs w:val="24"/>
        </w:rPr>
        <w:t xml:space="preserve">Women with disabilities: Essays in psychology, culture and politics </w:t>
      </w:r>
      <w:r w:rsidRPr="006B280E">
        <w:rPr>
          <w:color w:val="231F20"/>
          <w:sz w:val="24"/>
          <w:szCs w:val="24"/>
        </w:rPr>
        <w:t>(pp.</w:t>
      </w:r>
      <w:r>
        <w:rPr>
          <w:color w:val="231F20"/>
          <w:sz w:val="24"/>
          <w:szCs w:val="24"/>
        </w:rPr>
        <w:t xml:space="preserve"> </w:t>
      </w:r>
      <w:r w:rsidRPr="006B280E">
        <w:rPr>
          <w:color w:val="231F20"/>
          <w:sz w:val="24"/>
          <w:szCs w:val="24"/>
        </w:rPr>
        <w:t>333-336). Philadelphia, PA: Temple University Press.</w:t>
      </w:r>
    </w:p>
    <w:p w:rsidR="00837178" w:rsidRPr="00AE6F25" w:rsidRDefault="00837178" w:rsidP="00837178">
      <w:pPr>
        <w:autoSpaceDE w:val="0"/>
        <w:autoSpaceDN w:val="0"/>
        <w:adjustRightInd w:val="0"/>
        <w:spacing w:line="240" w:lineRule="auto"/>
        <w:ind w:left="720" w:hanging="720"/>
        <w:rPr>
          <w:color w:val="231F20"/>
          <w:sz w:val="24"/>
          <w:szCs w:val="24"/>
          <w:highlight w:val="yellow"/>
        </w:rPr>
      </w:pPr>
    </w:p>
    <w:p w:rsidR="00837178" w:rsidRDefault="00837178" w:rsidP="00837178">
      <w:pPr>
        <w:autoSpaceDE w:val="0"/>
        <w:autoSpaceDN w:val="0"/>
        <w:adjustRightInd w:val="0"/>
        <w:spacing w:line="240" w:lineRule="auto"/>
        <w:ind w:left="720" w:hanging="720"/>
        <w:rPr>
          <w:bCs/>
          <w:i/>
          <w:color w:val="231F20"/>
          <w:sz w:val="24"/>
          <w:szCs w:val="24"/>
        </w:rPr>
      </w:pPr>
      <w:proofErr w:type="spellStart"/>
      <w:proofErr w:type="gramStart"/>
      <w:r w:rsidRPr="0049330E">
        <w:rPr>
          <w:color w:val="231F20"/>
          <w:sz w:val="24"/>
          <w:szCs w:val="24"/>
        </w:rPr>
        <w:t>Gerschick</w:t>
      </w:r>
      <w:proofErr w:type="spellEnd"/>
      <w:r w:rsidRPr="0049330E">
        <w:rPr>
          <w:color w:val="231F20"/>
          <w:sz w:val="24"/>
          <w:szCs w:val="24"/>
        </w:rPr>
        <w:t>, T. (2000).</w:t>
      </w:r>
      <w:proofErr w:type="gramEnd"/>
      <w:r w:rsidRPr="0049330E">
        <w:rPr>
          <w:color w:val="231F20"/>
          <w:sz w:val="24"/>
          <w:szCs w:val="24"/>
        </w:rPr>
        <w:t xml:space="preserve"> </w:t>
      </w:r>
      <w:proofErr w:type="gramStart"/>
      <w:r w:rsidRPr="0049330E">
        <w:rPr>
          <w:color w:val="231F20"/>
          <w:sz w:val="24"/>
          <w:szCs w:val="24"/>
        </w:rPr>
        <w:t>Toward a theory of disability and gender.</w:t>
      </w:r>
      <w:proofErr w:type="gramEnd"/>
      <w:r w:rsidRPr="0049330E">
        <w:rPr>
          <w:color w:val="231F20"/>
          <w:sz w:val="24"/>
          <w:szCs w:val="24"/>
        </w:rPr>
        <w:t xml:space="preserve"> </w:t>
      </w:r>
      <w:r w:rsidRPr="0049330E">
        <w:rPr>
          <w:i/>
          <w:iCs/>
          <w:color w:val="231F20"/>
          <w:sz w:val="24"/>
          <w:szCs w:val="24"/>
        </w:rPr>
        <w:t>Signs, 25</w:t>
      </w:r>
      <w:r w:rsidRPr="0049330E">
        <w:rPr>
          <w:color w:val="231F20"/>
          <w:sz w:val="24"/>
          <w:szCs w:val="24"/>
        </w:rPr>
        <w:t>(4), 1263-1273.</w:t>
      </w:r>
      <w:r w:rsidRPr="0049330E">
        <w:rPr>
          <w:bCs/>
          <w:i/>
          <w:color w:val="231F20"/>
          <w:sz w:val="24"/>
          <w:szCs w:val="24"/>
        </w:rPr>
        <w:t xml:space="preserve"> </w:t>
      </w:r>
    </w:p>
    <w:p w:rsidR="00837178" w:rsidRPr="006B280E" w:rsidRDefault="00837178" w:rsidP="00837178">
      <w:pPr>
        <w:autoSpaceDE w:val="0"/>
        <w:autoSpaceDN w:val="0"/>
        <w:adjustRightInd w:val="0"/>
        <w:spacing w:line="240" w:lineRule="auto"/>
        <w:ind w:left="720" w:hanging="720"/>
        <w:rPr>
          <w:b/>
          <w:bCs/>
          <w:color w:val="FFFFFF"/>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r w:rsidRPr="006B280E">
        <w:rPr>
          <w:color w:val="231F20"/>
          <w:sz w:val="24"/>
          <w:szCs w:val="24"/>
        </w:rPr>
        <w:t xml:space="preserve">Hart, K. A., </w:t>
      </w:r>
      <w:proofErr w:type="spellStart"/>
      <w:r w:rsidRPr="006B280E">
        <w:rPr>
          <w:color w:val="231F20"/>
          <w:sz w:val="24"/>
          <w:szCs w:val="24"/>
        </w:rPr>
        <w:t>Rintala</w:t>
      </w:r>
      <w:proofErr w:type="spellEnd"/>
      <w:r w:rsidRPr="006B280E">
        <w:rPr>
          <w:color w:val="231F20"/>
          <w:sz w:val="24"/>
          <w:szCs w:val="24"/>
        </w:rPr>
        <w:t>, D. H., &amp; Fuhrer, M. J. (1996). Educational interests of individuals with spinal cord injury living in the community: Medical, sexuality, and wellness topics.</w:t>
      </w:r>
      <w:r w:rsidRPr="006B280E">
        <w:rPr>
          <w:i/>
          <w:iCs/>
          <w:color w:val="231F20"/>
          <w:sz w:val="24"/>
          <w:szCs w:val="24"/>
        </w:rPr>
        <w:t xml:space="preserve"> Rehabilitation Nursing, 21</w:t>
      </w:r>
      <w:r w:rsidRPr="006B280E">
        <w:rPr>
          <w:color w:val="231F20"/>
          <w:sz w:val="24"/>
          <w:szCs w:val="24"/>
        </w:rPr>
        <w:t>(2), 82-90.</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spellStart"/>
      <w:r w:rsidRPr="006B280E">
        <w:rPr>
          <w:color w:val="231F20"/>
          <w:sz w:val="24"/>
          <w:szCs w:val="24"/>
        </w:rPr>
        <w:t>Kutza</w:t>
      </w:r>
      <w:proofErr w:type="spellEnd"/>
      <w:r w:rsidRPr="006B280E">
        <w:rPr>
          <w:color w:val="231F20"/>
          <w:sz w:val="24"/>
          <w:szCs w:val="24"/>
        </w:rPr>
        <w:t>, E.</w:t>
      </w:r>
      <w:r>
        <w:rPr>
          <w:color w:val="231F20"/>
          <w:sz w:val="24"/>
          <w:szCs w:val="24"/>
        </w:rPr>
        <w:t xml:space="preserve"> </w:t>
      </w:r>
      <w:r w:rsidRPr="006B280E">
        <w:rPr>
          <w:color w:val="231F20"/>
          <w:sz w:val="24"/>
          <w:szCs w:val="24"/>
        </w:rPr>
        <w:t xml:space="preserve">A. (1985). </w:t>
      </w:r>
      <w:proofErr w:type="gramStart"/>
      <w:r w:rsidRPr="006B280E">
        <w:rPr>
          <w:color w:val="231F20"/>
          <w:sz w:val="24"/>
          <w:szCs w:val="24"/>
        </w:rPr>
        <w:t>A look at national policy and the baby boom generation.</w:t>
      </w:r>
      <w:proofErr w:type="gramEnd"/>
      <w:r w:rsidRPr="006B280E">
        <w:rPr>
          <w:color w:val="231F20"/>
          <w:sz w:val="24"/>
          <w:szCs w:val="24"/>
        </w:rPr>
        <w:t xml:space="preserve"> </w:t>
      </w:r>
      <w:r w:rsidRPr="006B280E">
        <w:rPr>
          <w:i/>
          <w:iCs/>
          <w:color w:val="231F20"/>
          <w:sz w:val="24"/>
          <w:szCs w:val="24"/>
        </w:rPr>
        <w:t>Generations (American Society of Aging),</w:t>
      </w:r>
      <w:r>
        <w:rPr>
          <w:i/>
          <w:iCs/>
          <w:color w:val="231F20"/>
          <w:sz w:val="24"/>
          <w:szCs w:val="24"/>
        </w:rPr>
        <w:t xml:space="preserve"> </w:t>
      </w:r>
      <w:r w:rsidRPr="006B280E">
        <w:rPr>
          <w:i/>
          <w:iCs/>
          <w:color w:val="231F20"/>
          <w:sz w:val="24"/>
          <w:szCs w:val="24"/>
        </w:rPr>
        <w:t>22</w:t>
      </w:r>
      <w:r w:rsidRPr="006B280E">
        <w:rPr>
          <w:color w:val="231F20"/>
          <w:sz w:val="24"/>
          <w:szCs w:val="24"/>
        </w:rPr>
        <w:t>(1), 16-21.</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gramStart"/>
      <w:r w:rsidRPr="006B280E">
        <w:rPr>
          <w:color w:val="231F20"/>
          <w:sz w:val="24"/>
          <w:szCs w:val="24"/>
        </w:rPr>
        <w:t>McGrath, E., Keita, G. P., Strickland, B. R., &amp; Russo, N. F. (1990).</w:t>
      </w:r>
      <w:proofErr w:type="gramEnd"/>
      <w:r w:rsidRPr="006B280E">
        <w:rPr>
          <w:color w:val="231F20"/>
          <w:sz w:val="24"/>
          <w:szCs w:val="24"/>
        </w:rPr>
        <w:t xml:space="preserve"> </w:t>
      </w:r>
      <w:r w:rsidRPr="006B280E">
        <w:rPr>
          <w:i/>
          <w:iCs/>
          <w:color w:val="231F20"/>
          <w:sz w:val="24"/>
          <w:szCs w:val="24"/>
        </w:rPr>
        <w:t>Women and depression: Risk factors and treatment issues</w:t>
      </w:r>
      <w:r w:rsidRPr="006B280E">
        <w:rPr>
          <w:color w:val="231F20"/>
          <w:sz w:val="24"/>
          <w:szCs w:val="24"/>
        </w:rPr>
        <w:t>. Washington, DC: American</w:t>
      </w:r>
      <w:r>
        <w:rPr>
          <w:color w:val="231F20"/>
          <w:sz w:val="24"/>
          <w:szCs w:val="24"/>
        </w:rPr>
        <w:t xml:space="preserve"> </w:t>
      </w:r>
      <w:r w:rsidRPr="006B280E">
        <w:rPr>
          <w:color w:val="231F20"/>
          <w:sz w:val="24"/>
          <w:szCs w:val="24"/>
        </w:rPr>
        <w:t>Psychological Association.</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spellStart"/>
      <w:r w:rsidRPr="006B280E">
        <w:rPr>
          <w:color w:val="231F20"/>
          <w:sz w:val="24"/>
          <w:szCs w:val="24"/>
        </w:rPr>
        <w:t>Mudrick</w:t>
      </w:r>
      <w:proofErr w:type="spellEnd"/>
      <w:r w:rsidRPr="006B280E">
        <w:rPr>
          <w:color w:val="231F20"/>
          <w:sz w:val="24"/>
          <w:szCs w:val="24"/>
        </w:rPr>
        <w:t xml:space="preserve">, N. R. (1988). Predictors of disability among midlife men and women: Differences by severity of impairment. </w:t>
      </w:r>
      <w:r w:rsidRPr="006B280E">
        <w:rPr>
          <w:i/>
          <w:iCs/>
          <w:color w:val="231F20"/>
          <w:sz w:val="24"/>
          <w:szCs w:val="24"/>
        </w:rPr>
        <w:t>Journal of Community Health, 13</w:t>
      </w:r>
      <w:r w:rsidRPr="006B280E">
        <w:rPr>
          <w:color w:val="231F20"/>
          <w:sz w:val="24"/>
          <w:szCs w:val="24"/>
        </w:rPr>
        <w:t xml:space="preserve">(2), 70-84. </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spellStart"/>
      <w:proofErr w:type="gramStart"/>
      <w:r w:rsidRPr="006B280E">
        <w:rPr>
          <w:color w:val="231F20"/>
          <w:sz w:val="24"/>
          <w:szCs w:val="24"/>
        </w:rPr>
        <w:t>Nosek</w:t>
      </w:r>
      <w:proofErr w:type="spellEnd"/>
      <w:r w:rsidRPr="006B280E">
        <w:rPr>
          <w:color w:val="231F20"/>
          <w:sz w:val="24"/>
          <w:szCs w:val="24"/>
        </w:rPr>
        <w:t>, M. A., Foley, C. C., Hughes, R. B., &amp; Howland, C. A. (2001).</w:t>
      </w:r>
      <w:proofErr w:type="gramEnd"/>
      <w:r w:rsidRPr="006B280E">
        <w:rPr>
          <w:color w:val="231F20"/>
          <w:sz w:val="24"/>
          <w:szCs w:val="24"/>
        </w:rPr>
        <w:t xml:space="preserve"> </w:t>
      </w:r>
      <w:proofErr w:type="gramStart"/>
      <w:r w:rsidRPr="006B280E">
        <w:rPr>
          <w:color w:val="231F20"/>
          <w:sz w:val="24"/>
          <w:szCs w:val="24"/>
        </w:rPr>
        <w:t>Vulnerabilities</w:t>
      </w:r>
      <w:r>
        <w:rPr>
          <w:color w:val="231F20"/>
          <w:sz w:val="24"/>
          <w:szCs w:val="24"/>
        </w:rPr>
        <w:t xml:space="preserve"> </w:t>
      </w:r>
      <w:r w:rsidRPr="006B280E">
        <w:rPr>
          <w:color w:val="231F20"/>
          <w:sz w:val="24"/>
          <w:szCs w:val="24"/>
        </w:rPr>
        <w:t>for abuse among women with disabilities.</w:t>
      </w:r>
      <w:proofErr w:type="gramEnd"/>
      <w:r w:rsidRPr="006B280E">
        <w:rPr>
          <w:color w:val="231F20"/>
          <w:sz w:val="24"/>
          <w:szCs w:val="24"/>
        </w:rPr>
        <w:t xml:space="preserve"> </w:t>
      </w:r>
      <w:r w:rsidRPr="006B280E">
        <w:rPr>
          <w:i/>
          <w:iCs/>
          <w:color w:val="231F20"/>
          <w:sz w:val="24"/>
          <w:szCs w:val="24"/>
        </w:rPr>
        <w:t>Sexuality and Disability, 19</w:t>
      </w:r>
      <w:r w:rsidRPr="006B280E">
        <w:rPr>
          <w:color w:val="231F20"/>
          <w:sz w:val="24"/>
          <w:szCs w:val="24"/>
        </w:rPr>
        <w:t>(3), 177-189.</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Default="00837178" w:rsidP="00837178">
      <w:pPr>
        <w:autoSpaceDE w:val="0"/>
        <w:autoSpaceDN w:val="0"/>
        <w:adjustRightInd w:val="0"/>
        <w:spacing w:line="240" w:lineRule="auto"/>
        <w:ind w:left="720" w:hanging="720"/>
        <w:rPr>
          <w:color w:val="231F20"/>
          <w:sz w:val="24"/>
          <w:szCs w:val="24"/>
        </w:rPr>
      </w:pPr>
      <w:proofErr w:type="spellStart"/>
      <w:proofErr w:type="gramStart"/>
      <w:r w:rsidRPr="006B280E">
        <w:rPr>
          <w:color w:val="231F20"/>
          <w:sz w:val="24"/>
          <w:szCs w:val="24"/>
        </w:rPr>
        <w:t>Nosek</w:t>
      </w:r>
      <w:proofErr w:type="spellEnd"/>
      <w:r w:rsidRPr="006B280E">
        <w:rPr>
          <w:color w:val="231F20"/>
          <w:sz w:val="24"/>
          <w:szCs w:val="24"/>
        </w:rPr>
        <w:t xml:space="preserve">, M. A., </w:t>
      </w:r>
      <w:proofErr w:type="spellStart"/>
      <w:r w:rsidRPr="006B280E">
        <w:rPr>
          <w:color w:val="231F20"/>
          <w:sz w:val="24"/>
          <w:szCs w:val="24"/>
        </w:rPr>
        <w:t>Grabois</w:t>
      </w:r>
      <w:proofErr w:type="spellEnd"/>
      <w:r w:rsidRPr="006B280E">
        <w:rPr>
          <w:color w:val="231F20"/>
          <w:sz w:val="24"/>
          <w:szCs w:val="24"/>
        </w:rPr>
        <w:t>, E., &amp; Howland, C. A. (1992).</w:t>
      </w:r>
      <w:proofErr w:type="gramEnd"/>
      <w:r w:rsidRPr="006B280E">
        <w:rPr>
          <w:color w:val="231F20"/>
          <w:sz w:val="24"/>
          <w:szCs w:val="24"/>
        </w:rPr>
        <w:t xml:space="preserve"> </w:t>
      </w:r>
      <w:r w:rsidRPr="006B280E">
        <w:rPr>
          <w:i/>
          <w:iCs/>
          <w:color w:val="231F20"/>
          <w:sz w:val="24"/>
          <w:szCs w:val="24"/>
        </w:rPr>
        <w:t xml:space="preserve">Top 10 </w:t>
      </w:r>
      <w:r>
        <w:rPr>
          <w:i/>
          <w:iCs/>
          <w:color w:val="231F20"/>
          <w:sz w:val="24"/>
          <w:szCs w:val="24"/>
        </w:rPr>
        <w:t>b</w:t>
      </w:r>
      <w:r w:rsidRPr="006B280E">
        <w:rPr>
          <w:i/>
          <w:iCs/>
          <w:color w:val="231F20"/>
          <w:sz w:val="24"/>
          <w:szCs w:val="24"/>
        </w:rPr>
        <w:t xml:space="preserve">arriers to </w:t>
      </w:r>
      <w:r>
        <w:rPr>
          <w:i/>
          <w:iCs/>
          <w:color w:val="231F20"/>
          <w:sz w:val="24"/>
          <w:szCs w:val="24"/>
        </w:rPr>
        <w:t>q</w:t>
      </w:r>
      <w:r w:rsidRPr="006B280E">
        <w:rPr>
          <w:i/>
          <w:iCs/>
          <w:color w:val="231F20"/>
          <w:sz w:val="24"/>
          <w:szCs w:val="24"/>
        </w:rPr>
        <w:t xml:space="preserve">uality </w:t>
      </w:r>
      <w:r>
        <w:rPr>
          <w:i/>
          <w:iCs/>
          <w:color w:val="231F20"/>
          <w:sz w:val="24"/>
          <w:szCs w:val="24"/>
        </w:rPr>
        <w:t>h</w:t>
      </w:r>
      <w:r w:rsidRPr="006B280E">
        <w:rPr>
          <w:i/>
          <w:iCs/>
          <w:color w:val="231F20"/>
          <w:sz w:val="24"/>
          <w:szCs w:val="24"/>
        </w:rPr>
        <w:t xml:space="preserve">ealth </w:t>
      </w:r>
      <w:r>
        <w:rPr>
          <w:i/>
          <w:iCs/>
          <w:color w:val="231F20"/>
          <w:sz w:val="24"/>
          <w:szCs w:val="24"/>
        </w:rPr>
        <w:t>c</w:t>
      </w:r>
      <w:r w:rsidRPr="006B280E">
        <w:rPr>
          <w:i/>
          <w:iCs/>
          <w:color w:val="231F20"/>
          <w:sz w:val="24"/>
          <w:szCs w:val="24"/>
        </w:rPr>
        <w:t xml:space="preserve">are for </w:t>
      </w:r>
      <w:r>
        <w:rPr>
          <w:i/>
          <w:iCs/>
          <w:color w:val="231F20"/>
          <w:sz w:val="24"/>
          <w:szCs w:val="24"/>
        </w:rPr>
        <w:t>w</w:t>
      </w:r>
      <w:r w:rsidRPr="006B280E">
        <w:rPr>
          <w:i/>
          <w:iCs/>
          <w:color w:val="231F20"/>
          <w:sz w:val="24"/>
          <w:szCs w:val="24"/>
        </w:rPr>
        <w:t xml:space="preserve">omen with </w:t>
      </w:r>
      <w:r>
        <w:rPr>
          <w:i/>
          <w:iCs/>
          <w:color w:val="231F20"/>
          <w:sz w:val="24"/>
          <w:szCs w:val="24"/>
        </w:rPr>
        <w:t>d</w:t>
      </w:r>
      <w:r w:rsidRPr="006B280E">
        <w:rPr>
          <w:i/>
          <w:iCs/>
          <w:color w:val="231F20"/>
          <w:sz w:val="24"/>
          <w:szCs w:val="24"/>
        </w:rPr>
        <w:t>isabilities</w:t>
      </w:r>
      <w:r>
        <w:rPr>
          <w:i/>
          <w:iCs/>
          <w:color w:val="231F20"/>
          <w:sz w:val="24"/>
          <w:szCs w:val="24"/>
        </w:rPr>
        <w:t>:</w:t>
      </w:r>
      <w:r w:rsidRPr="006B280E">
        <w:rPr>
          <w:i/>
          <w:iCs/>
          <w:color w:val="231F20"/>
          <w:sz w:val="24"/>
          <w:szCs w:val="24"/>
        </w:rPr>
        <w:t xml:space="preserve"> Research information on independent living, independent living research utilization</w:t>
      </w:r>
      <w:r w:rsidRPr="006B280E">
        <w:rPr>
          <w:color w:val="231F20"/>
          <w:sz w:val="24"/>
          <w:szCs w:val="24"/>
        </w:rPr>
        <w:t xml:space="preserve">. </w:t>
      </w:r>
      <w:r>
        <w:rPr>
          <w:color w:val="231F20"/>
          <w:sz w:val="24"/>
          <w:szCs w:val="24"/>
        </w:rPr>
        <w:t xml:space="preserve">Houston, TX: </w:t>
      </w:r>
      <w:r w:rsidRPr="006B280E">
        <w:rPr>
          <w:color w:val="231F20"/>
          <w:sz w:val="24"/>
          <w:szCs w:val="24"/>
        </w:rPr>
        <w:t>The Institute for Rehabilitation and Research</w:t>
      </w:r>
      <w:r>
        <w:rPr>
          <w:color w:val="231F20"/>
          <w:sz w:val="24"/>
          <w:szCs w:val="24"/>
        </w:rPr>
        <w:t>, Baylor College of Medicine</w:t>
      </w:r>
      <w:r w:rsidRPr="006B280E">
        <w:rPr>
          <w:color w:val="231F20"/>
          <w:sz w:val="24"/>
          <w:szCs w:val="24"/>
        </w:rPr>
        <w:t xml:space="preserve">. </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Default="00837178" w:rsidP="00837178">
      <w:pPr>
        <w:autoSpaceDE w:val="0"/>
        <w:autoSpaceDN w:val="0"/>
        <w:adjustRightInd w:val="0"/>
        <w:spacing w:line="240" w:lineRule="auto"/>
        <w:ind w:left="720" w:hanging="720"/>
        <w:rPr>
          <w:color w:val="231F20"/>
          <w:sz w:val="24"/>
          <w:szCs w:val="24"/>
        </w:rPr>
      </w:pPr>
      <w:proofErr w:type="spellStart"/>
      <w:proofErr w:type="gramStart"/>
      <w:r w:rsidRPr="006B280E">
        <w:rPr>
          <w:color w:val="231F20"/>
          <w:sz w:val="24"/>
          <w:szCs w:val="24"/>
        </w:rPr>
        <w:t>Nosek</w:t>
      </w:r>
      <w:proofErr w:type="spellEnd"/>
      <w:r w:rsidRPr="006B280E">
        <w:rPr>
          <w:color w:val="231F20"/>
          <w:sz w:val="24"/>
          <w:szCs w:val="24"/>
        </w:rPr>
        <w:t>, M. A., &amp; Hughes, R. B. (2003).</w:t>
      </w:r>
      <w:proofErr w:type="gramEnd"/>
      <w:r w:rsidRPr="006B280E">
        <w:rPr>
          <w:color w:val="231F20"/>
          <w:sz w:val="24"/>
          <w:szCs w:val="24"/>
        </w:rPr>
        <w:t xml:space="preserve"> Psychosocial issues of women with physical disabilities: The continuing gender debate. </w:t>
      </w:r>
      <w:proofErr w:type="gramStart"/>
      <w:r w:rsidRPr="006B280E">
        <w:rPr>
          <w:i/>
          <w:iCs/>
          <w:color w:val="231F20"/>
          <w:sz w:val="24"/>
          <w:szCs w:val="24"/>
        </w:rPr>
        <w:t>Rehabilitation Counseling Bulletin, 46</w:t>
      </w:r>
      <w:r w:rsidRPr="006B280E">
        <w:rPr>
          <w:color w:val="231F20"/>
          <w:sz w:val="24"/>
          <w:szCs w:val="24"/>
        </w:rPr>
        <w:t>(4), 224-234.</w:t>
      </w:r>
      <w:proofErr w:type="gramEnd"/>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r w:rsidRPr="006B280E">
        <w:rPr>
          <w:color w:val="231F20"/>
          <w:sz w:val="24"/>
          <w:szCs w:val="24"/>
        </w:rPr>
        <w:t xml:space="preserve">O'Hara, B. </w:t>
      </w:r>
      <w:r>
        <w:rPr>
          <w:color w:val="231F20"/>
          <w:sz w:val="24"/>
          <w:szCs w:val="24"/>
        </w:rPr>
        <w:t>(</w:t>
      </w:r>
      <w:r w:rsidRPr="006B280E">
        <w:rPr>
          <w:color w:val="231F20"/>
          <w:sz w:val="24"/>
          <w:szCs w:val="24"/>
        </w:rPr>
        <w:t>2004</w:t>
      </w:r>
      <w:r>
        <w:rPr>
          <w:color w:val="231F20"/>
          <w:sz w:val="24"/>
          <w:szCs w:val="24"/>
        </w:rPr>
        <w:t>)</w:t>
      </w:r>
      <w:r w:rsidRPr="006B280E">
        <w:rPr>
          <w:color w:val="231F20"/>
          <w:sz w:val="24"/>
          <w:szCs w:val="24"/>
        </w:rPr>
        <w:t xml:space="preserve">. </w:t>
      </w:r>
      <w:proofErr w:type="gramStart"/>
      <w:r w:rsidRPr="006B280E">
        <w:rPr>
          <w:color w:val="231F20"/>
          <w:sz w:val="24"/>
          <w:szCs w:val="24"/>
        </w:rPr>
        <w:t xml:space="preserve">Twice penalized: </w:t>
      </w:r>
      <w:r>
        <w:rPr>
          <w:color w:val="231F20"/>
          <w:sz w:val="24"/>
          <w:szCs w:val="24"/>
        </w:rPr>
        <w:t>E</w:t>
      </w:r>
      <w:r w:rsidRPr="006B280E">
        <w:rPr>
          <w:color w:val="231F20"/>
          <w:sz w:val="24"/>
          <w:szCs w:val="24"/>
        </w:rPr>
        <w:t>mployment discrimination against women with disabilities.</w:t>
      </w:r>
      <w:proofErr w:type="gramEnd"/>
      <w:r w:rsidRPr="006B280E">
        <w:rPr>
          <w:color w:val="231F20"/>
          <w:sz w:val="24"/>
          <w:szCs w:val="24"/>
        </w:rPr>
        <w:t xml:space="preserve"> </w:t>
      </w:r>
      <w:r w:rsidRPr="006B280E">
        <w:rPr>
          <w:i/>
          <w:iCs/>
          <w:color w:val="231F20"/>
          <w:sz w:val="24"/>
          <w:szCs w:val="24"/>
        </w:rPr>
        <w:t>Journal of Disability Policy Studies, 15</w:t>
      </w:r>
      <w:r w:rsidRPr="006B280E">
        <w:rPr>
          <w:color w:val="231F20"/>
          <w:sz w:val="24"/>
          <w:szCs w:val="24"/>
        </w:rPr>
        <w:t>(1), 27-43.</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gramStart"/>
      <w:r w:rsidRPr="006B280E">
        <w:rPr>
          <w:color w:val="231F20"/>
          <w:sz w:val="24"/>
          <w:szCs w:val="24"/>
        </w:rPr>
        <w:t>Shakespeare, T. (2006).</w:t>
      </w:r>
      <w:proofErr w:type="gramEnd"/>
      <w:r w:rsidRPr="006B280E">
        <w:rPr>
          <w:color w:val="231F20"/>
          <w:sz w:val="24"/>
          <w:szCs w:val="24"/>
        </w:rPr>
        <w:t xml:space="preserve"> </w:t>
      </w:r>
      <w:proofErr w:type="gramStart"/>
      <w:r w:rsidRPr="006B280E">
        <w:rPr>
          <w:i/>
          <w:iCs/>
          <w:color w:val="231F20"/>
          <w:sz w:val="24"/>
          <w:szCs w:val="24"/>
        </w:rPr>
        <w:t>Disability rights and wrongs</w:t>
      </w:r>
      <w:r w:rsidRPr="006B280E">
        <w:rPr>
          <w:color w:val="231F20"/>
          <w:sz w:val="24"/>
          <w:szCs w:val="24"/>
        </w:rPr>
        <w:t>.</w:t>
      </w:r>
      <w:proofErr w:type="gramEnd"/>
      <w:r w:rsidRPr="006B280E">
        <w:rPr>
          <w:color w:val="231F20"/>
          <w:sz w:val="24"/>
          <w:szCs w:val="24"/>
        </w:rPr>
        <w:t xml:space="preserve"> London, </w:t>
      </w:r>
      <w:r>
        <w:rPr>
          <w:color w:val="231F20"/>
          <w:sz w:val="24"/>
          <w:szCs w:val="24"/>
        </w:rPr>
        <w:t>UK</w:t>
      </w:r>
      <w:r w:rsidRPr="006B280E">
        <w:rPr>
          <w:color w:val="231F20"/>
          <w:sz w:val="24"/>
          <w:szCs w:val="24"/>
        </w:rPr>
        <w:t xml:space="preserve">: </w:t>
      </w:r>
      <w:proofErr w:type="spellStart"/>
      <w:r w:rsidRPr="006B280E">
        <w:rPr>
          <w:color w:val="231F20"/>
          <w:sz w:val="24"/>
          <w:szCs w:val="24"/>
        </w:rPr>
        <w:t>Routledge</w:t>
      </w:r>
      <w:proofErr w:type="spellEnd"/>
      <w:r w:rsidRPr="006B280E">
        <w:rPr>
          <w:color w:val="231F20"/>
          <w:sz w:val="24"/>
          <w:szCs w:val="24"/>
        </w:rPr>
        <w:t>.</w:t>
      </w:r>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F311A9" w:rsidRDefault="00837178" w:rsidP="00837178">
      <w:pPr>
        <w:spacing w:line="240" w:lineRule="auto"/>
        <w:ind w:left="720" w:hanging="720"/>
        <w:rPr>
          <w:sz w:val="24"/>
          <w:szCs w:val="24"/>
        </w:rPr>
      </w:pPr>
      <w:proofErr w:type="spellStart"/>
      <w:r w:rsidRPr="00F311A9">
        <w:rPr>
          <w:sz w:val="24"/>
          <w:szCs w:val="24"/>
        </w:rPr>
        <w:lastRenderedPageBreak/>
        <w:t>Traustadottir</w:t>
      </w:r>
      <w:proofErr w:type="spellEnd"/>
      <w:r w:rsidRPr="00F311A9">
        <w:rPr>
          <w:sz w:val="24"/>
          <w:szCs w:val="24"/>
        </w:rPr>
        <w:t xml:space="preserve">, R. (1990). </w:t>
      </w:r>
      <w:proofErr w:type="gramStart"/>
      <w:r w:rsidRPr="00F311A9">
        <w:rPr>
          <w:i/>
          <w:sz w:val="24"/>
          <w:szCs w:val="24"/>
        </w:rPr>
        <w:t>Employment, equality, and gender</w:t>
      </w:r>
      <w:r w:rsidRPr="00F311A9">
        <w:rPr>
          <w:sz w:val="24"/>
          <w:szCs w:val="24"/>
        </w:rPr>
        <w:t>.</w:t>
      </w:r>
      <w:proofErr w:type="gramEnd"/>
      <w:r w:rsidRPr="00F311A9">
        <w:rPr>
          <w:sz w:val="24"/>
          <w:szCs w:val="24"/>
        </w:rPr>
        <w:t xml:space="preserve"> </w:t>
      </w:r>
      <w:proofErr w:type="gramStart"/>
      <w:r>
        <w:rPr>
          <w:sz w:val="24"/>
          <w:szCs w:val="24"/>
        </w:rPr>
        <w:t>Retrieved from</w:t>
      </w:r>
      <w:r w:rsidRPr="00F311A9">
        <w:rPr>
          <w:sz w:val="24"/>
          <w:szCs w:val="24"/>
        </w:rPr>
        <w:t xml:space="preserve"> </w:t>
      </w:r>
      <w:r>
        <w:rPr>
          <w:sz w:val="24"/>
          <w:szCs w:val="24"/>
        </w:rPr>
        <w:t xml:space="preserve">the website of the </w:t>
      </w:r>
      <w:r w:rsidRPr="00F311A9">
        <w:rPr>
          <w:sz w:val="24"/>
          <w:szCs w:val="24"/>
        </w:rPr>
        <w:t>Center on Human Policy</w:t>
      </w:r>
      <w:r>
        <w:rPr>
          <w:sz w:val="24"/>
          <w:szCs w:val="24"/>
        </w:rPr>
        <w:t>, Syracuse University</w:t>
      </w:r>
      <w:r w:rsidRPr="00F311A9">
        <w:rPr>
          <w:sz w:val="24"/>
          <w:szCs w:val="24"/>
        </w:rPr>
        <w:t xml:space="preserve"> http://thechp.syr.edu/workgen.htm.</w:t>
      </w:r>
      <w:proofErr w:type="gramEnd"/>
    </w:p>
    <w:p w:rsidR="00837178" w:rsidRPr="006B280E" w:rsidRDefault="00837178" w:rsidP="00837178">
      <w:pPr>
        <w:autoSpaceDE w:val="0"/>
        <w:autoSpaceDN w:val="0"/>
        <w:adjustRightInd w:val="0"/>
        <w:spacing w:line="240" w:lineRule="auto"/>
        <w:ind w:left="720" w:hanging="720"/>
        <w:rPr>
          <w:color w:val="231F20"/>
          <w:sz w:val="24"/>
          <w:szCs w:val="24"/>
        </w:rPr>
      </w:pPr>
    </w:p>
    <w:p w:rsidR="00837178" w:rsidRPr="006B280E" w:rsidRDefault="00837178" w:rsidP="00837178">
      <w:pPr>
        <w:autoSpaceDE w:val="0"/>
        <w:autoSpaceDN w:val="0"/>
        <w:adjustRightInd w:val="0"/>
        <w:spacing w:line="240" w:lineRule="auto"/>
        <w:ind w:left="720" w:hanging="720"/>
        <w:rPr>
          <w:color w:val="231F20"/>
          <w:sz w:val="24"/>
          <w:szCs w:val="24"/>
        </w:rPr>
      </w:pPr>
      <w:proofErr w:type="gramStart"/>
      <w:r w:rsidRPr="006B280E">
        <w:rPr>
          <w:color w:val="231F20"/>
          <w:sz w:val="24"/>
          <w:szCs w:val="24"/>
        </w:rPr>
        <w:t xml:space="preserve">Warren, L. W., &amp; </w:t>
      </w:r>
      <w:proofErr w:type="spellStart"/>
      <w:r w:rsidRPr="006B280E">
        <w:rPr>
          <w:color w:val="231F20"/>
          <w:sz w:val="24"/>
          <w:szCs w:val="24"/>
        </w:rPr>
        <w:t>McEachren</w:t>
      </w:r>
      <w:proofErr w:type="spellEnd"/>
      <w:r w:rsidRPr="006B280E">
        <w:rPr>
          <w:color w:val="231F20"/>
          <w:sz w:val="24"/>
          <w:szCs w:val="24"/>
        </w:rPr>
        <w:t>, L. (1983).</w:t>
      </w:r>
      <w:proofErr w:type="gramEnd"/>
      <w:r w:rsidRPr="006B280E">
        <w:rPr>
          <w:color w:val="231F20"/>
          <w:sz w:val="24"/>
          <w:szCs w:val="24"/>
        </w:rPr>
        <w:t xml:space="preserve"> Psychosocial correlates of depressive </w:t>
      </w:r>
      <w:proofErr w:type="spellStart"/>
      <w:r w:rsidRPr="006B280E">
        <w:rPr>
          <w:color w:val="231F20"/>
          <w:sz w:val="24"/>
          <w:szCs w:val="24"/>
        </w:rPr>
        <w:t>symptomatology</w:t>
      </w:r>
      <w:proofErr w:type="spellEnd"/>
      <w:r w:rsidRPr="006B280E">
        <w:rPr>
          <w:color w:val="231F20"/>
          <w:sz w:val="24"/>
          <w:szCs w:val="24"/>
        </w:rPr>
        <w:t xml:space="preserve"> in adult women. </w:t>
      </w:r>
      <w:r w:rsidRPr="006B280E">
        <w:rPr>
          <w:i/>
          <w:iCs/>
          <w:color w:val="231F20"/>
          <w:sz w:val="24"/>
          <w:szCs w:val="24"/>
        </w:rPr>
        <w:t>Journal of Abnormal Psychology, 92</w:t>
      </w:r>
      <w:r w:rsidRPr="006B280E">
        <w:rPr>
          <w:color w:val="231F20"/>
          <w:sz w:val="24"/>
          <w:szCs w:val="24"/>
        </w:rPr>
        <w:t>(2), 151-160.</w:t>
      </w:r>
    </w:p>
    <w:p w:rsidR="00477C51" w:rsidRDefault="006D75FE"/>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7178"/>
    <w:rsid w:val="0057039B"/>
    <w:rsid w:val="006213E4"/>
    <w:rsid w:val="006D75FE"/>
    <w:rsid w:val="00837178"/>
    <w:rsid w:val="009C0AF0"/>
    <w:rsid w:val="00A34430"/>
    <w:rsid w:val="00A4593A"/>
    <w:rsid w:val="00AD1E94"/>
    <w:rsid w:val="00DF14AE"/>
    <w:rsid w:val="00EB2E80"/>
    <w:rsid w:val="00EE5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78"/>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2014-10-29T20:13:00Z</cp:lastPrinted>
  <dcterms:created xsi:type="dcterms:W3CDTF">2014-10-29T20:13:00Z</dcterms:created>
  <dcterms:modified xsi:type="dcterms:W3CDTF">2014-10-29T20:13:00Z</dcterms:modified>
</cp:coreProperties>
</file>