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1DC1" w14:textId="77777777" w:rsidR="00BB0077" w:rsidRPr="00071CD5" w:rsidRDefault="00BB0077" w:rsidP="00BB0077">
      <w:pPr>
        <w:spacing w:line="480" w:lineRule="auto"/>
        <w:ind w:firstLine="0"/>
      </w:pPr>
      <w:r w:rsidRPr="00071CD5">
        <w:t>Series Four of American Horror Story (AHS) gave new opportunities to disabled actors and began to show viewers more radical images of disability and people with different impairments. But a comparison this with disabled characters in the other series of AHS shows that representations of disability are still not equal.</w:t>
      </w:r>
    </w:p>
    <w:p w14:paraId="213237CD" w14:textId="77777777" w:rsidR="00BB0077" w:rsidRDefault="00BB0077"/>
    <w:sectPr w:rsidR="00BB0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77"/>
    <w:rsid w:val="00BB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A845"/>
  <w15:chartTrackingRefBased/>
  <w15:docId w15:val="{200490D2-6212-3444-BC37-66C9D30E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77"/>
    <w:pPr>
      <w:widowControl w:val="0"/>
      <w:spacing w:after="200" w:line="276" w:lineRule="auto"/>
      <w:ind w:firstLine="72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2022-02-02T14:00:00Z</dcterms:created>
  <dcterms:modified xsi:type="dcterms:W3CDTF">2022-02-02T14:01:00Z</dcterms:modified>
</cp:coreProperties>
</file>